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26" w:right="-17"/>
        <w:jc w:val="center"/>
        <w:rPr>
          <w:rFonts w:ascii="Arial" w:hAnsi="Arial" w:cs="Arial"/>
          <w:b/>
        </w:rPr>
      </w:pPr>
      <w:bookmarkStart w:id="0" w:name="_Hlk142658039"/>
      <w:r>
        <w:rPr>
          <w:rFonts w:ascii="Arial" w:hAnsi="Arial" w:cs="Arial"/>
          <w:b/>
        </w:rPr>
        <w:t>ANEXO VII</w:t>
      </w:r>
    </w:p>
    <w:p>
      <w:pPr>
        <w:ind w:left="426" w:right="-17"/>
        <w:jc w:val="center"/>
        <w:rPr>
          <w:rFonts w:ascii="Arial" w:hAnsi="Arial" w:cs="Arial"/>
          <w:b/>
        </w:rPr>
      </w:pPr>
    </w:p>
    <w:p>
      <w:pPr>
        <w:ind w:left="426" w:right="-17"/>
        <w:jc w:val="center"/>
        <w:rPr>
          <w:rFonts w:ascii="Arial" w:hAnsi="Arial" w:cs="Arial"/>
          <w:b/>
        </w:rPr>
      </w:pPr>
      <w:r>
        <w:rPr>
          <w:rFonts w:ascii="Arial" w:hAnsi="Arial" w:cs="Arial"/>
          <w:b/>
        </w:rPr>
        <w:t>MINUTA DE TERMO DE CONTRATO DE SERVIÇOS</w:t>
      </w:r>
      <w:bookmarkEnd w:id="0"/>
    </w:p>
    <w:p>
      <w:pPr>
        <w:ind w:left="426" w:right="-17"/>
        <w:jc w:val="center"/>
        <w:rPr>
          <w:rFonts w:ascii="Arial" w:hAnsi="Arial" w:cs="Arial"/>
          <w:b/>
        </w:rPr>
      </w:pPr>
    </w:p>
    <w:p>
      <w:pPr>
        <w:ind w:left="4253" w:right="-17"/>
        <w:jc w:val="both"/>
        <w:rPr>
          <w:rFonts w:ascii="Arial" w:hAnsi="Arial" w:cs="Arial"/>
          <w:b/>
        </w:rPr>
      </w:pPr>
    </w:p>
    <w:p>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pPr>
        <w:spacing w:line="276" w:lineRule="auto"/>
        <w:ind w:left="5103" w:right="-17"/>
        <w:jc w:val="both"/>
        <w:rPr>
          <w:rFonts w:ascii="Arial" w:hAnsi="Arial" w:cs="Arial"/>
          <w:b/>
        </w:rPr>
      </w:pPr>
    </w:p>
    <w:bookmarkEnd w:id="1"/>
    <w:p>
      <w:pPr>
        <w:spacing w:after="0"/>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w:t>
      </w:r>
      <w:bookmarkStart w:id="4" w:name="_GoBack"/>
      <w:bookmarkEnd w:id="4"/>
      <w:r>
        <w:rPr>
          <w:rFonts w:ascii="Arial" w:hAnsi="Arial" w:cs="Arial"/>
          <w:sz w:val="22"/>
          <w:szCs w:val="22"/>
        </w:rPr>
        <w:t>...,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nº </w:t>
      </w:r>
      <w:r>
        <w:rPr>
          <w:rFonts w:hint="default" w:ascii="Arial" w:hAnsi="Arial" w:cs="Arial"/>
          <w:b/>
          <w:bCs/>
          <w:sz w:val="22"/>
          <w:szCs w:val="22"/>
          <w:lang w:val="pt-BR"/>
        </w:rPr>
        <w:t>1.725/2026</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b/>
          <w:bCs/>
          <w:sz w:val="22"/>
          <w:szCs w:val="22"/>
          <w:highlight w:val="none"/>
          <w:lang w:val="pt-BR"/>
        </w:rPr>
        <w:t xml:space="preserve"> 985867-27-2026 / </w:t>
      </w:r>
      <w:r>
        <w:rPr>
          <w:rFonts w:hint="default" w:ascii="Arial" w:hAnsi="Arial" w:cs="Arial"/>
          <w:b/>
          <w:bCs/>
          <w:sz w:val="22"/>
          <w:szCs w:val="22"/>
          <w:highlight w:val="none"/>
          <w:lang w:val="pt-BR"/>
        </w:rPr>
        <w:t>ID INTERNO Nº 90.053/2026</w:t>
      </w:r>
      <w:r>
        <w:rPr>
          <w:rFonts w:ascii="Arial" w:hAnsi="Arial" w:cs="Arial"/>
          <w:sz w:val="22"/>
          <w:szCs w:val="22"/>
          <w:highlight w:val="none"/>
        </w:rPr>
        <w:t>,</w:t>
      </w:r>
      <w:r>
        <w:rPr>
          <w:rFonts w:ascii="Arial" w:hAnsi="Arial" w:cs="Arial"/>
          <w:sz w:val="22"/>
          <w:szCs w:val="22"/>
        </w:rPr>
        <w:t xml:space="preserve"> mediante as cláusulas e condições a seguir enunciadas.</w:t>
      </w:r>
    </w:p>
    <w:p>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w:t>
      </w:r>
      <w:r>
        <w:rPr>
          <w:rFonts w:ascii="Arial" w:hAnsi="Arial" w:cs="Arial"/>
          <w:b/>
          <w:bCs w:val="0"/>
          <w:iCs/>
        </w:rPr>
        <w:t>CONTRATAÇÃO</w:t>
      </w:r>
      <w:r>
        <w:rPr>
          <w:rFonts w:hint="default" w:ascii="Arial" w:hAnsi="Arial" w:cs="Arial"/>
          <w:b/>
          <w:bCs w:val="0"/>
          <w:iCs/>
          <w:lang w:val="pt-BR"/>
        </w:rPr>
        <w:t xml:space="preserve"> </w:t>
      </w:r>
      <w:r>
        <w:rPr>
          <w:rFonts w:ascii="Arial" w:hAnsi="Arial" w:cs="Arial"/>
          <w:b/>
          <w:bCs w:val="0"/>
          <w:iCs/>
        </w:rPr>
        <w:t xml:space="preserve">de </w:t>
      </w:r>
      <w:r>
        <w:rPr>
          <w:rFonts w:ascii="Arial" w:hAnsi="Arial" w:cs="Arial"/>
          <w:b/>
          <w:bCs w:val="0"/>
          <w:iCs/>
          <w:lang w:val="pt-BR" w:eastAsia="pt-BR"/>
        </w:rPr>
        <w:t xml:space="preserve">empresa especializada para prestação de serviço de fornecimento continuado e ininterrupto de OXIGÊNIO MEDICINAL DOMICILIAR envasado, com concessão dos cilindros em regime de comodato. </w:t>
      </w:r>
      <w:r>
        <w:rPr>
          <w:rFonts w:hint="default" w:ascii="Arial" w:hAnsi="Arial" w:cs="Arial"/>
          <w:b/>
          <w:bCs w:val="0"/>
          <w:iCs/>
          <w:lang w:val="en-US" w:eastAsia="pt-BR"/>
        </w:rPr>
        <w:t>A</w:t>
      </w:r>
      <w:r>
        <w:rPr>
          <w:rFonts w:ascii="Arial" w:hAnsi="Arial" w:cs="Arial"/>
          <w:b/>
          <w:bCs w:val="0"/>
          <w:iCs/>
          <w:lang w:val="pt-BR" w:eastAsia="pt-BR"/>
        </w:rPr>
        <w:t xml:space="preserve">cessórios, insumos para manutenção dos serviços e locação de equipamentos, a fim de atender a demanda da </w:t>
      </w:r>
      <w:r>
        <w:rPr>
          <w:rFonts w:hint="default" w:ascii="Arial" w:hAnsi="Arial" w:cs="Arial"/>
          <w:b/>
          <w:bCs w:val="0"/>
          <w:iCs/>
          <w:lang w:val="en-US" w:eastAsia="pt-BR"/>
        </w:rPr>
        <w:t>S</w:t>
      </w:r>
      <w:r>
        <w:rPr>
          <w:rFonts w:ascii="Arial" w:hAnsi="Arial" w:cs="Arial"/>
          <w:b/>
          <w:bCs w:val="0"/>
          <w:iCs/>
          <w:lang w:val="pt-BR" w:eastAsia="pt-BR"/>
        </w:rPr>
        <w:t xml:space="preserve">ubsecretaria de </w:t>
      </w:r>
      <w:r>
        <w:rPr>
          <w:rFonts w:hint="default" w:ascii="Arial" w:hAnsi="Arial" w:cs="Arial"/>
          <w:b/>
          <w:bCs w:val="0"/>
          <w:iCs/>
          <w:lang w:val="en-US" w:eastAsia="pt-BR"/>
        </w:rPr>
        <w:t>A</w:t>
      </w:r>
      <w:r>
        <w:rPr>
          <w:rFonts w:ascii="Arial" w:hAnsi="Arial" w:cs="Arial"/>
          <w:b/>
          <w:bCs w:val="0"/>
          <w:iCs/>
          <w:lang w:val="pt-BR" w:eastAsia="pt-BR"/>
        </w:rPr>
        <w:t xml:space="preserve">tenção </w:t>
      </w:r>
      <w:r>
        <w:rPr>
          <w:rFonts w:hint="default" w:ascii="Arial" w:hAnsi="Arial" w:cs="Arial"/>
          <w:b/>
          <w:bCs w:val="0"/>
          <w:iCs/>
          <w:lang w:val="en-US" w:eastAsia="pt-BR"/>
        </w:rPr>
        <w:t>B</w:t>
      </w:r>
      <w:r>
        <w:rPr>
          <w:rFonts w:ascii="Arial" w:hAnsi="Arial" w:cs="Arial"/>
          <w:b/>
          <w:bCs w:val="0"/>
          <w:iCs/>
          <w:lang w:val="pt-BR" w:eastAsia="pt-BR"/>
        </w:rPr>
        <w:t>ásica</w:t>
      </w:r>
      <w:r>
        <w:rPr>
          <w:rFonts w:hint="default" w:ascii="Arial" w:hAnsi="Arial" w:cs="Arial"/>
          <w:bCs/>
          <w:iCs/>
          <w:lang w:val="en-US" w:eastAsia="pt-BR"/>
        </w:rPr>
        <w:t xml:space="preserve">, </w:t>
      </w:r>
      <w:r>
        <w:rPr>
          <w:rFonts w:ascii="Arial" w:hAnsi="Arial" w:cs="Arial"/>
          <w:bCs/>
          <w:iCs/>
        </w:rPr>
        <w:t>nas condições estabelecidas no Termo de Referência – Anexo I do edital.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pPr>
              <w:pStyle w:val="19"/>
              <w:ind w:left="0"/>
              <w:jc w:val="center"/>
              <w:rPr>
                <w:rFonts w:ascii="Arial" w:hAnsi="Arial" w:cs="Arial"/>
                <w:b/>
              </w:rPr>
            </w:pPr>
            <w:r>
              <w:rPr>
                <w:rFonts w:ascii="Arial" w:hAnsi="Arial" w:cs="Arial"/>
                <w:b/>
              </w:rPr>
              <w:t>CATSER</w:t>
            </w:r>
          </w:p>
        </w:tc>
        <w:tc>
          <w:tcPr>
            <w:tcW w:w="1328"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VALOR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pPr>
              <w:rPr>
                <w:rFonts w:ascii="Arial" w:hAnsi="Arial" w:cs="Arial"/>
              </w:rPr>
            </w:pPr>
          </w:p>
        </w:tc>
        <w:tc>
          <w:tcPr>
            <w:tcW w:w="606" w:type="pct"/>
            <w:vMerge w:val="continue"/>
            <w:shd w:val="clear" w:color="auto" w:fill="D8D8D8"/>
          </w:tcPr>
          <w:p>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pPr>
              <w:rPr>
                <w:rFonts w:ascii="Arial" w:hAnsi="Arial" w:cs="Arial"/>
              </w:rPr>
            </w:pPr>
          </w:p>
        </w:tc>
        <w:tc>
          <w:tcPr>
            <w:tcW w:w="839"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pPr>
              <w:pStyle w:val="19"/>
              <w:ind w:left="0"/>
              <w:jc w:val="center"/>
              <w:rPr>
                <w:rFonts w:ascii="Arial" w:hAnsi="Arial" w:cs="Arial"/>
                <w:b/>
              </w:rPr>
            </w:pPr>
            <w:r>
              <w:rPr>
                <w:rFonts w:ascii="Arial" w:hAnsi="Arial" w:cs="Arial"/>
                <w:b/>
              </w:rPr>
              <w:t>TOTAL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1</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pPr>
              <w:pStyle w:val="38"/>
              <w:jc w:val="center"/>
              <w:rPr>
                <w:rFonts w:ascii="Arial" w:hAnsi="Arial" w:cs="Arial"/>
                <w:b/>
              </w:rPr>
            </w:pPr>
            <w:r>
              <w:rPr>
                <w:rFonts w:ascii="Arial" w:hAnsi="Arial" w:cs="Arial"/>
                <w:b/>
              </w:rPr>
              <w:t>…</w:t>
            </w:r>
          </w:p>
        </w:tc>
        <w:tc>
          <w:tcPr>
            <w:tcW w:w="606" w:type="pct"/>
          </w:tcPr>
          <w:p>
            <w:pPr>
              <w:pStyle w:val="38"/>
              <w:jc w:val="both"/>
              <w:rPr>
                <w:rFonts w:ascii="Arial" w:hAnsi="Arial" w:cs="Arial"/>
              </w:rPr>
            </w:pPr>
          </w:p>
        </w:tc>
        <w:tc>
          <w:tcPr>
            <w:tcW w:w="1328" w:type="pct"/>
            <w:tcMar>
              <w:top w:w="0" w:type="dxa"/>
              <w:left w:w="108" w:type="dxa"/>
              <w:bottom w:w="0" w:type="dxa"/>
              <w:right w:w="108" w:type="dxa"/>
            </w:tcMar>
            <w:vAlign w:val="center"/>
          </w:tcPr>
          <w:p>
            <w:pPr>
              <w:pStyle w:val="38"/>
              <w:jc w:val="both"/>
              <w:rPr>
                <w:rFonts w:ascii="Arial" w:hAnsi="Arial" w:cs="Arial"/>
              </w:rPr>
            </w:pPr>
          </w:p>
        </w:tc>
        <w:tc>
          <w:tcPr>
            <w:tcW w:w="534" w:type="pct"/>
            <w:tcMar>
              <w:top w:w="0" w:type="dxa"/>
              <w:left w:w="108" w:type="dxa"/>
              <w:bottom w:w="0" w:type="dxa"/>
              <w:right w:w="108" w:type="dxa"/>
            </w:tcMar>
            <w:vAlign w:val="center"/>
          </w:tcPr>
          <w:p>
            <w:pPr>
              <w:pStyle w:val="38"/>
              <w:jc w:val="center"/>
              <w:rPr>
                <w:rFonts w:ascii="Arial" w:hAnsi="Arial" w:cs="Arial"/>
              </w:rPr>
            </w:pPr>
          </w:p>
        </w:tc>
        <w:tc>
          <w:tcPr>
            <w:tcW w:w="583" w:type="pct"/>
            <w:tcMar>
              <w:top w:w="0" w:type="dxa"/>
              <w:left w:w="108" w:type="dxa"/>
              <w:bottom w:w="0" w:type="dxa"/>
              <w:right w:w="108" w:type="dxa"/>
            </w:tcMar>
            <w:vAlign w:val="center"/>
          </w:tcPr>
          <w:p>
            <w:pPr>
              <w:pStyle w:val="38"/>
              <w:jc w:val="center"/>
              <w:rPr>
                <w:rFonts w:ascii="Arial" w:hAnsi="Arial" w:cs="Arial"/>
                <w:b/>
              </w:rPr>
            </w:pPr>
          </w:p>
        </w:tc>
        <w:tc>
          <w:tcPr>
            <w:tcW w:w="839" w:type="pct"/>
            <w:tcMar>
              <w:top w:w="0" w:type="dxa"/>
              <w:left w:w="108" w:type="dxa"/>
              <w:bottom w:w="0" w:type="dxa"/>
              <w:right w:w="108" w:type="dxa"/>
            </w:tcMar>
            <w:vAlign w:val="center"/>
          </w:tcPr>
          <w:p>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pPr>
              <w:pStyle w:val="38"/>
              <w:spacing w:after="0" w:line="240" w:lineRule="auto"/>
              <w:jc w:val="right"/>
              <w:rPr>
                <w:rFonts w:ascii="Arial" w:hAnsi="Arial" w:cs="Arial"/>
                <w:b/>
                <w:bCs/>
              </w:rPr>
            </w:pPr>
          </w:p>
        </w:tc>
      </w:tr>
    </w:tbl>
    <w:p>
      <w:pPr>
        <w:pStyle w:val="19"/>
        <w:widowControl/>
        <w:tabs>
          <w:tab w:val="left" w:pos="426"/>
        </w:tabs>
        <w:autoSpaceDE/>
        <w:autoSpaceDN/>
        <w:spacing w:before="120" w:after="120" w:line="276" w:lineRule="auto"/>
        <w:ind w:left="0"/>
        <w:jc w:val="both"/>
        <w:rPr>
          <w:rFonts w:ascii="Arial" w:hAnsi="Arial" w:cs="Arial"/>
          <w:iCs/>
        </w:rPr>
      </w:pPr>
    </w:p>
    <w:p>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pPr>
        <w:pStyle w:val="19"/>
        <w:widowControl/>
        <w:tabs>
          <w:tab w:val="left" w:pos="426"/>
        </w:tabs>
        <w:autoSpaceDE/>
        <w:autoSpaceDN/>
        <w:spacing w:before="120" w:after="120" w:line="276" w:lineRule="auto"/>
        <w:ind w:left="862"/>
        <w:jc w:val="both"/>
        <w:rPr>
          <w:rFonts w:ascii="Arial" w:hAnsi="Arial" w:cs="Arial"/>
          <w:bCs/>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 xml:space="preserve">O prazo de vigência da contratação é de .............................. contados do(a) ............................., prorrogável por até 10 anos, na forma dos </w:t>
      </w:r>
      <w:r>
        <w:rPr>
          <w:i w:val="0"/>
          <w:iCs/>
          <w:color w:val="auto"/>
        </w:rPr>
        <w:fldChar w:fldCharType="begin"/>
      </w:r>
      <w:r>
        <w:rPr>
          <w:i w:val="0"/>
          <w:iCs/>
          <w:color w:val="auto"/>
        </w:rPr>
        <w:instrText xml:space="preserve"> HYPERLINK "http://www.planalto.gov.br/ccivil_03/_ato2019-2022/2021/lei/L14133.htm" \l "art106" </w:instrText>
      </w:r>
      <w:r>
        <w:rPr>
          <w:i w:val="0"/>
          <w:iCs/>
          <w:color w:val="auto"/>
        </w:rPr>
        <w:fldChar w:fldCharType="separate"/>
      </w:r>
      <w:r>
        <w:rPr>
          <w:rFonts w:ascii="Arial" w:hAnsi="Arial" w:cs="Arial"/>
          <w:bCs/>
          <w:i w:val="0"/>
          <w:iCs/>
          <w:color w:val="auto"/>
        </w:rPr>
        <w:t>artigos 106 e 107 da Lei n° 14.133, de 2021</w:t>
      </w:r>
      <w:r>
        <w:rPr>
          <w:rFonts w:ascii="Arial" w:hAnsi="Arial" w:cs="Arial"/>
          <w:bCs/>
          <w:i w:val="0"/>
          <w:iCs/>
          <w:color w:val="auto"/>
        </w:rPr>
        <w:fldChar w:fldCharType="end"/>
      </w:r>
      <w:r>
        <w:rPr>
          <w:rFonts w:ascii="Arial" w:hAnsi="Arial" w:cs="Arial"/>
          <w:bCs/>
          <w:i w:val="0"/>
          <w:iCs/>
          <w:color w:val="auto"/>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Estar formalmente demonstrado no processo que a forma de prestação dos serviços tem natureza continuada;</w:t>
      </w:r>
    </w:p>
    <w:p>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 xml:space="preserve">Seja juntado relatório que discorra sobre a execução do contrato, com informações de que os serviços tenham sido prestados regularmente;  </w:t>
      </w:r>
    </w:p>
    <w:p>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 xml:space="preserve">Seja juntada justificativa e motivo, por escrito, de que a Administração mantém interesse na realização do serviço;  </w:t>
      </w:r>
    </w:p>
    <w:p>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 xml:space="preserve">Haja manifestação expressa do contratado informando o interesse na prorrogação; </w:t>
      </w:r>
    </w:p>
    <w:p>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Seja comprovado que o contratado mantém as condições iniciais de habilitação.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O contratado não tem direito subjetivo à prorrogação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A prorrogação de contrato deverá ser promovida mediante celebração de termo aditivo.</w:t>
      </w:r>
    </w:p>
    <w:p>
      <w:pPr>
        <w:pStyle w:val="50"/>
        <w:numPr>
          <w:ilvl w:val="1"/>
          <w:numId w:val="3"/>
        </w:numPr>
        <w:rPr>
          <w:rFonts w:eastAsia="Verdana"/>
          <w:bCs/>
          <w:i w:val="0"/>
          <w:iCs/>
          <w:color w:val="auto"/>
          <w:sz w:val="22"/>
          <w:szCs w:val="22"/>
          <w:lang w:val="pt-PT" w:eastAsia="en-US"/>
        </w:rPr>
      </w:pPr>
      <w:r>
        <w:rPr>
          <w:rFonts w:eastAsia="Verdana"/>
          <w:bCs/>
          <w:i w:val="0"/>
          <w:iCs/>
          <w:color w:val="auto"/>
          <w:sz w:val="22"/>
          <w:szCs w:val="22"/>
          <w:lang w:val="pt-PT" w:eastAsia="en-US"/>
        </w:rPr>
        <w:t>Nas eventuais prorrogações contratuais, os custos não renováveis já pagos ou amortizados ao longo do primeiro período de vigência da contratação deverão ser reduzidos ou eliminados como condição para a renovação.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O contrato não poderá ser prorrogado quando o contratado tiver sido penalizado nas sanções de declaração de inidoneidade ou impedimento de licitar e contratar com poder público, observadas as abrangências de aplicação.</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 </w:t>
      </w:r>
      <w:r>
        <w:rPr>
          <w:rFonts w:hint="default" w:ascii="Arial" w:hAnsi="Arial" w:cs="Arial"/>
          <w:bCs/>
          <w:iCs/>
          <w:u w:val="single"/>
          <w:lang w:val="pt-BR"/>
        </w:rPr>
        <w:t>DA EXECUÇÃO CONTRATUAL</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 Os serviços serão prestados atendendo ao quantitativo definido conforme o item 1 do Termo de Referência, podendo o contrato decorrente da Ata de Registro de Preços, ser prorrogado por igual período até o limite máximo de 10 (dez) anos, conforme dispõe o art. 107 da lei nº 14133/21, considerando se tratar de serviço contínuo e essencial.</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 A execução dos serviços será iniciada imediatamente após a emissão de Nota de Empenho e/ou assinatura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3.1.3 A Contratada deverá ter capacidade de atendimento da demanda com eficiência, presteza e zelo.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3.1.4 Os serviços de ODP serão autorizados por uma das Unidades Básicas de Saúde do município, que providenciarão o cadastro do paciente no Banco de Dados de ODP.</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3.1.5 Os serviços deverão ser prestados para pacientes que residem no Município de Nova Friburgo.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3.1.6 Pacientes não acompanhados nos serviços municipais de ODP poderão recebê-los na SMS, mediante cumprimento das exigências previstas no Projeto Básico de licitação ministerial portaria nº 963, de 27 de maio de 2013 e portaria nº 825 de abril de 2016.</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3.1.7 Nestes casos, a empresa deverá comparecer na residência do paciente para avaliar a viabilidade técnica/operacional da fonte de oxigênio a ele indicada, bem como a estrutura residencial, para a adequação das condições de atendimento e os recursos a serem utilizados.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3.1.8 Os tipos de fontes de oxigênio disponibilizadas compreende entre cilindros de gás sob pressão, concentradores de oxigênio e oxigênio portátil para consultas e exames. Após validar a fonte de oxigênio indicada pelo médico, a empresa deverá implementar os serviços e fornecer as orientações/treinamento aos pacientes e familiares acerca da fonte de oxigênio e seu manuseio.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3.1.9 Os procedimentos previstos no Termo de Referência, não deverão ultrapassar 48 horas e deverão ser realizados no horário de 07h:00min às 19h:00min. Ademais, nesta fase, a empresa deverá preencher, em 02 vias, o Relatório de Implantação de Oxigenoterapia Domiciliar (documento será disponibilizado em momento oportuno pela Coordenação), encaminhando uma das vias para a unidade de referência e coordenação.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3.1.10 Após a coordenação do serviço, validar o relatório apresentado pela empresa, autorizando a execução do serviço, deverá encaminhar à coordenação do serviço, unidade de referência e para a UBS de origem o Termo de Responsabilidade (documento será disponibilizado em momento oportuno pela Coordenação), assinado em 03 vias pelo paciente ou seu responsável.</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3.1.11 Caso haja divergência entre as fontes de oxigênio recomendadas, a unidade de referência especializada e a empresa deverão, em comum acordo, disponibilizar ao paciente a fonte de oxigênio que considerarem mais adequada.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 Semanalmente e/ou Mensalmente, a empresa deverá visitar o paciente, preencher o Relatório de Monitoramento Mensal que deverá ser assinado pelo paciente ou pelo responsável, e encaminhá-lo à unidade de referência e à UBS solicitante, com cópia para a coordenação do serviço.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3.1.13 Ainda mensalmente, a empresa deverá enviar à unidade de referência, com cópia para a Coordenadoria, por meio eletrônico, o relatório de pacientes atendidos, bem como as respectivas fontes de oxigênio recebidas.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3.1.14 Para a perfeita execução dos serviços, a Contratada disponibilizará os materiais, equipamentos, ferramentas e utensílios necessários, nas quantidades estimadas e qualidades estabelecidas no item 1 do Termo de Referência, promovendo sua substituição quando necessário.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3.1.15 A Contratada deverá garantir a não paralisação dos serviços contratados por motivos de falta de insumos/equipamentos, transporte ou recursos humanos.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3.1.16 A aceitação provisória ou definitiva dos serviços não exclui a responsabilidade da Contratada pelos prejuízos resultantes da incorreta execução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3.1.17 Os serviços poderão ser rejeitados, no todo ou em parte, quando em desacordo com as especificações constantes no Termo de Referência e na proposta, devendo ser corrigidos/refeitos/substituídos no prazo fixado pelo fiscal do contrato, às custas da Contratada, sem prejuízo da aplicação de penalidades.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widowControl/>
        <w:tabs>
          <w:tab w:val="left" w:pos="426"/>
        </w:tabs>
        <w:autoSpaceDE/>
        <w:autoSpaceDN/>
        <w:spacing w:before="120" w:after="120" w:line="276" w:lineRule="auto"/>
        <w:ind w:left="0"/>
        <w:jc w:val="both"/>
        <w:rPr>
          <w:rFonts w:hint="default" w:ascii="Arial" w:hAnsi="Arial" w:cs="Arial"/>
          <w:bCs/>
          <w:iCs/>
          <w:u w:val="single"/>
          <w:lang w:val="pt-BR"/>
        </w:rPr>
      </w:pPr>
      <w:r>
        <w:rPr>
          <w:rFonts w:hint="default" w:ascii="Arial" w:hAnsi="Arial" w:cs="Arial"/>
          <w:bCs/>
          <w:iCs/>
          <w:lang w:val="pt-BR"/>
        </w:rPr>
        <w:t xml:space="preserve">3.2 </w:t>
      </w:r>
      <w:r>
        <w:rPr>
          <w:rFonts w:hint="default" w:ascii="Arial" w:hAnsi="Arial" w:cs="Arial"/>
          <w:bCs/>
          <w:iCs/>
          <w:u w:val="single"/>
          <w:lang w:val="pt-BR"/>
        </w:rPr>
        <w:t>DA GESTÃO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 A execução do contrato deverá ser acompanhada e fiscalizada pelo(s) fiscal(is) do contrato, ou pelos respectivos substitutos (Lei nº 14.133/2021, art. 117,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3.2.3.1 O fiscal do contrato anotará em registro próprio todas as ocorrências relacionadas à execução do contrato, determinando o que for necessário para a regularização das faltas ou dos defeitos observados (Lei nº 14.133/2021, art. 117,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3.2.3.2. O fiscal do contrato informará a seus superiores, em tempo hábil para a adoção das medidas convenientes, a situação que demandar decisão ou providência que ultrapasse sua competência (Lei nº 14.133/2021, art. 117, §2º).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3.2.5. Somente o contratado será responsável pelos encargos trabalhistas, previdenciários, fiscais e comerciais resultantes da execução do contrato (Lei nº 14.133/2021, art. 121, caput).</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3.2.6. A inadimplência do contratado em relação aos encargos trabalhistas, fiscais e comerciais não transferirá à Administração a responsabilidade pelo seu pagamento e não poderá onerar o objeto do contrato (Lei nº 14.133/2021, art. 121, §1º).</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3.2.7. As comunicações entre o órgão ou entidade e a contratada devem ser realizadas por escrito sempre que o ato exigir tal formalidade, admitindo-se, excepcionalmente, o uso de mensagem eletrônica para esse fim.</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3.2.8. O órgão ou entidade poderá convocar representante da empresa para adoção de providências que devam ser cumpridas de imediato.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3.2.9.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3.2.10.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eastAsia="en-US"/>
        </w:rPr>
        <w:t>3.2.11. Para o acompanhamento, gestão e fiscalização da execução do presente contrato, serão designados em momento posterior, antes da execução do objeto, agentes públicos gestor/gestor substituto e fiscal/ fiscal substituto.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3.2.12.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3.2.13. O(s) fiscal(is) designado pela Contratante deverá ter a experiência necessária para o acompanhamento e controle da execução dos serviços e do contrato;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3.2.14. A verificação da adequação da prestação do serviço deverá ser realizada com base nos critérios previstos no Termo de Referência;</w:t>
      </w:r>
    </w:p>
    <w:p>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3.2.15.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pPr>
        <w:pStyle w:val="19"/>
        <w:widowControl/>
        <w:tabs>
          <w:tab w:val="left" w:pos="426"/>
        </w:tabs>
        <w:autoSpaceDE/>
        <w:autoSpaceDN/>
        <w:spacing w:before="120" w:after="120" w:line="276" w:lineRule="auto"/>
        <w:ind w:left="0"/>
        <w:jc w:val="both"/>
        <w:rPr>
          <w:rFonts w:hint="default" w:ascii="Arial" w:hAnsi="Arial" w:cs="Arial"/>
          <w:bCs/>
          <w:iCs/>
          <w:lang w:val="pt-BR"/>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pPr>
        <w:pStyle w:val="19"/>
        <w:widowControl/>
        <w:tabs>
          <w:tab w:val="left" w:pos="426"/>
        </w:tabs>
        <w:autoSpaceDE/>
        <w:autoSpaceDN/>
        <w:spacing w:before="120" w:after="120" w:line="276" w:lineRule="auto"/>
        <w:ind w:left="0"/>
        <w:jc w:val="both"/>
        <w:rPr>
          <w:rFonts w:ascii="Arial" w:hAnsi="Arial" w:cs="Arial"/>
          <w:bCs/>
          <w:i/>
          <w:iCs/>
          <w:color w:val="FF0000"/>
        </w:rPr>
      </w:pPr>
    </w:p>
    <w:p>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pPr>
        <w:pStyle w:val="19"/>
        <w:widowControl/>
        <w:tabs>
          <w:tab w:val="left" w:pos="426"/>
        </w:tabs>
        <w:autoSpaceDE/>
        <w:autoSpaceDN/>
        <w:spacing w:before="120" w:after="120" w:line="276" w:lineRule="auto"/>
        <w:ind w:left="0"/>
        <w:jc w:val="both"/>
        <w:rPr>
          <w:rFonts w:ascii="Arial" w:hAnsi="Arial" w:cs="Arial"/>
          <w:bCs/>
          <w:iCs/>
          <w:color w:val="FF0000"/>
        </w:rPr>
      </w:pPr>
    </w:p>
    <w:p>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pPr>
        <w:pStyle w:val="19"/>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 xml:space="preserve">6.1 </w:t>
      </w:r>
      <w:r>
        <w:rPr>
          <w:rFonts w:hint="default" w:ascii="Arial" w:hAnsi="Arial" w:cs="Arial"/>
          <w:b/>
          <w:bCs w:val="0"/>
          <w:iCs/>
          <w:color w:val="auto"/>
          <w:lang w:val="en-US" w:eastAsia="pt-BR"/>
        </w:rPr>
        <w:t>As notas fiscais de serviço deverão ser emitidas em nome do Fundo Municipal de Saúde – CNPJ 11.399.442/0001-79, endereço: Avenida Alberto Braune, 224, 2º andar/sala 221 – Centro/NF-CEP 28613-000.</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6.2. Da liquidação da despesa:</w:t>
      </w:r>
    </w:p>
    <w:p>
      <w:pPr>
        <w:pStyle w:val="19"/>
        <w:tabs>
          <w:tab w:val="left" w:pos="284"/>
        </w:tabs>
        <w:spacing w:line="276" w:lineRule="auto"/>
        <w:ind w:left="0"/>
        <w:jc w:val="both"/>
        <w:rPr>
          <w:rStyle w:val="9"/>
          <w:rFonts w:hint="default" w:ascii="Arial" w:hAnsi="Arial" w:cs="Arial"/>
          <w:lang w:val="en-US" w:eastAsia="pt-BR"/>
        </w:rPr>
      </w:pPr>
      <w:r>
        <w:rPr>
          <w:rFonts w:hint="default" w:ascii="Arial" w:hAnsi="Arial" w:cs="Arial" w:eastAsiaTheme="majorEastAsia"/>
          <w:b w:val="0"/>
          <w:bCs w:val="0"/>
          <w:lang w:val="en-US" w:eastAsia="pt-BR"/>
        </w:rPr>
        <w:t xml:space="preserve">6.2.1 . </w:t>
      </w:r>
      <w:r>
        <w:rPr>
          <w:rFonts w:hint="default" w:ascii="Arial" w:hAnsi="Arial" w:cs="Arial"/>
          <w:b/>
          <w:bCs w:val="0"/>
          <w:iCs/>
          <w:color w:val="auto"/>
          <w:lang w:val="en-US" w:eastAsia="pt-BR"/>
        </w:rPr>
        <w:t>A liquidação será realizada pela Secretaria Municipal de Finanças, Planejamento, Desenvolvimento Econômico e Gestão, a partir do cumprimento das obrigações elencadas no Termo de Referência, em obediência ao Decreto nº 2493, de 07 de novembro de 2023,</w:t>
      </w:r>
      <w:r>
        <w:rPr>
          <w:rFonts w:hint="default" w:ascii="Arial" w:hAnsi="Arial" w:cs="Arial" w:eastAsiaTheme="majorEastAsia"/>
          <w:b w:val="0"/>
          <w:bCs w:val="0"/>
          <w:lang w:val="en-US" w:eastAsia="pt-BR"/>
        </w:rPr>
        <w:t xml:space="preserve"> </w:t>
      </w:r>
      <w:r>
        <w:rPr>
          <w:rStyle w:val="9"/>
          <w:rFonts w:hint="default" w:ascii="Arial" w:hAnsi="Arial" w:cs="Arial"/>
          <w:lang w:val="en-US" w:eastAsia="pt-BR"/>
        </w:rPr>
        <w:fldChar w:fldCharType="begin"/>
      </w:r>
      <w:r>
        <w:rPr>
          <w:rStyle w:val="9"/>
          <w:rFonts w:hint="default" w:ascii="Arial" w:hAnsi="Arial" w:cs="Arial"/>
          <w:lang w:val="en-US" w:eastAsia="pt-BR"/>
        </w:rPr>
        <w:instrText xml:space="preserve"> HYPERLINK "https://pmnf.rj.gov.br/paginas-centralizadas/9_64_Legislacoes.html" </w:instrText>
      </w:r>
      <w:r>
        <w:rPr>
          <w:rStyle w:val="9"/>
          <w:rFonts w:hint="default" w:ascii="Arial" w:hAnsi="Arial" w:cs="Arial"/>
          <w:lang w:val="en-US" w:eastAsia="pt-BR"/>
        </w:rPr>
        <w:fldChar w:fldCharType="separate"/>
      </w:r>
      <w:r>
        <w:rPr>
          <w:rStyle w:val="9"/>
          <w:rFonts w:hint="default" w:ascii="Arial" w:hAnsi="Arial" w:cs="Arial"/>
          <w:lang w:val="en-US" w:eastAsia="pt-BR"/>
        </w:rPr>
        <w:t>https://pmnf.rj.gov.br/paginas-centralizadas/9_64_Legislacoes.html</w:t>
      </w:r>
      <w:r>
        <w:rPr>
          <w:rStyle w:val="9"/>
          <w:rFonts w:hint="default" w:ascii="Arial" w:hAnsi="Arial" w:cs="Arial"/>
          <w:lang w:val="en-US" w:eastAsia="pt-BR"/>
        </w:rPr>
        <w:fldChar w:fldCharType="end"/>
      </w:r>
      <w:r>
        <w:rPr>
          <w:rStyle w:val="9"/>
          <w:rFonts w:hint="default" w:ascii="Arial" w:hAnsi="Arial" w:cs="Arial"/>
          <w:lang w:val="en-US" w:eastAsia="pt-BR"/>
        </w:rPr>
        <w:t>.</w:t>
      </w:r>
    </w:p>
    <w:p>
      <w:pPr>
        <w:pStyle w:val="19"/>
        <w:tabs>
          <w:tab w:val="left" w:pos="284"/>
        </w:tabs>
        <w:spacing w:line="276" w:lineRule="auto"/>
        <w:ind w:left="0"/>
        <w:jc w:val="both"/>
        <w:rPr>
          <w:rStyle w:val="9"/>
          <w:rFonts w:hint="default" w:ascii="Arial" w:hAnsi="Arial" w:cs="Arial"/>
          <w:lang w:val="en-US" w:eastAsia="pt-BR"/>
        </w:rPr>
      </w:pPr>
      <w:r>
        <w:rPr>
          <w:rFonts w:hint="default" w:ascii="Arial" w:hAnsi="Arial" w:cs="Arial" w:eastAsiaTheme="majorEastAsia"/>
          <w:b w:val="0"/>
          <w:bCs w:val="0"/>
          <w:lang w:val="en-US" w:eastAsia="pt-BR"/>
        </w:rPr>
        <w:t xml:space="preserve">6.2.2 Deverá ser observado no momento da emissão do Documento Fiscal e na liquidação da despesa os dispositivos do Decreto Municipal nº2480/2023,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r>
        <w:rPr>
          <w:rStyle w:val="9"/>
          <w:rFonts w:hint="default" w:ascii="Arial" w:hAnsi="Arial" w:cs="Arial"/>
          <w:lang w:val="en-US" w:eastAsia="pt-BR"/>
        </w:rPr>
        <w:fldChar w:fldCharType="begin"/>
      </w:r>
      <w:r>
        <w:rPr>
          <w:rStyle w:val="9"/>
          <w:rFonts w:hint="default" w:ascii="Arial" w:hAnsi="Arial" w:cs="Arial"/>
          <w:lang w:val="en-US" w:eastAsia="pt-BR"/>
        </w:rPr>
        <w:instrText xml:space="preserve"> HYPERLINK "https://pmnf.rj.gov.br/paginas-centralizadas/9_64_Legislacoes.html" </w:instrText>
      </w:r>
      <w:r>
        <w:rPr>
          <w:rStyle w:val="9"/>
          <w:rFonts w:hint="default" w:ascii="Arial" w:hAnsi="Arial" w:cs="Arial"/>
          <w:lang w:val="en-US" w:eastAsia="pt-BR"/>
        </w:rPr>
        <w:fldChar w:fldCharType="separate"/>
      </w:r>
      <w:r>
        <w:rPr>
          <w:rStyle w:val="9"/>
          <w:rFonts w:hint="default" w:ascii="Arial" w:hAnsi="Arial" w:cs="Arial"/>
          <w:lang w:val="en-US" w:eastAsia="pt-BR"/>
        </w:rPr>
        <w:t>https://pmnf.rj.gov.br/paginas-centralizadas/9_64_Legislacoes.html</w:t>
      </w:r>
      <w:r>
        <w:rPr>
          <w:rStyle w:val="9"/>
          <w:rFonts w:hint="default" w:ascii="Arial" w:hAnsi="Arial" w:cs="Arial"/>
          <w:lang w:val="en-US" w:eastAsia="pt-BR"/>
        </w:rPr>
        <w:fldChar w:fldCharType="end"/>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 Do pagamento da despesa: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 O pagamento será efetuado conforme estabelecido no Decreto Municipal nº 2493, de 07 de novembro de 2023, desde que as certidões listadas abaixo estejam dentro da validade:</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Negativa de Débitos Trabalhistas;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Fazenda Federal – abrange as contribuições sociais;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FGTS;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PGE – referente à Dívida Ativa Estadual;</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Municipal – referente ao ISS e Dívida Ativa;</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Estadual CND – referente ao ICMS.</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6.3.2. A Nota Fiscal deverá conter a identificação do Banco, número da Agência e da Conta-Corrente, para que possibilite o CONTRATANTE efetuar o pagamento do valor devido;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6.3.3. Na ocorrência de rejeição da(s) Nota(s) Fiscal (s), motivada por erro ou incorreções, o prazo para pagamento estipulado acima passará a ser contado a partir da data de sua reapresentação.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6.3.5. O pagamento será efetuado pelo Município de Nova Friburgo mediante crédito em conta-corrente da contratada, até o 30º (trigésimo) dia corrido, a contar da atestação da Nota Fiscal apresentada pela contratada, desde que cumpridas as formalidades legais e contratuais previstas, e de acordo com o Decreto Municipal nº 2493, de 07 de novembro de 2023.</w:t>
      </w:r>
    </w:p>
    <w:p>
      <w:pPr>
        <w:pStyle w:val="19"/>
        <w:tabs>
          <w:tab w:val="left" w:pos="284"/>
        </w:tabs>
        <w:spacing w:line="276" w:lineRule="auto"/>
        <w:ind w:left="0"/>
        <w:jc w:val="both"/>
        <w:rPr>
          <w:rFonts w:hint="default" w:ascii="Arial" w:hAnsi="Arial" w:cs="Arial" w:eastAsiaTheme="majorEastAsia"/>
          <w:b w:val="0"/>
          <w:bCs w:val="0"/>
          <w:lang w:val="en-US" w:eastAsia="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Os preços inicialmente contratados são fixos e irreajustáveis no prazo de um ano contado da data do orçamento estimado, em __/__/__ (DD/MM/AAAA).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pPr>
        <w:widowControl/>
        <w:tabs>
          <w:tab w:val="left" w:pos="426"/>
        </w:tabs>
        <w:autoSpaceDE/>
        <w:autoSpaceDN/>
        <w:spacing w:before="120" w:after="120" w:line="276" w:lineRule="auto"/>
        <w:jc w:val="both"/>
        <w:rPr>
          <w:rFonts w:ascii="Arial" w:hAnsi="Arial" w:cs="Arial"/>
          <w:bCs/>
          <w:i/>
          <w:color w:val="FF0000"/>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Fonts w:ascii="Arial" w:hAnsi="Arial" w:cs="Arial"/>
          <w:bCs/>
          <w:iCs/>
          <w:lang w:val="pt-BR"/>
        </w:rPr>
        <w:t>do art. 93, §2º,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19"/>
        <w:widowControl/>
        <w:tabs>
          <w:tab w:val="left" w:pos="426"/>
        </w:tabs>
        <w:autoSpaceDE/>
        <w:autoSpaceDN/>
        <w:spacing w:before="120" w:after="120" w:line="276" w:lineRule="auto"/>
        <w:ind w:left="862"/>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Manter preposto aceito pela Administração no local do serviço para representá-lo na execução do contrato.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indicação ou a manutenção do preposto da empresa poderá ser recusada pelo órgão ou entidade, desde que devidamente justificada, devendo a empresa designar outro para o exercício da atividade.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Fonts w:ascii="Arial" w:hAnsi="Arial" w:cs="Arial"/>
          <w:bCs/>
          <w:iCs/>
          <w:lang w:val="pt-BR"/>
        </w:rPr>
        <w:t>art. 137, II</w:t>
      </w:r>
      <w:r>
        <w:rPr>
          <w:rFonts w:ascii="Arial" w:hAnsi="Arial" w:cs="Arial"/>
          <w:bCs/>
          <w:iCs/>
          <w:lang w:val="pt-BR"/>
        </w:rPr>
        <w:fldChar w:fldCharType="end"/>
      </w:r>
      <w:r>
        <w:rPr>
          <w:rFonts w:ascii="Arial" w:hAnsi="Arial" w:cs="Arial"/>
          <w:bCs/>
          <w:iCs/>
          <w:lang w:val="pt-BR"/>
        </w:rPr>
        <w:t>) e prestar todo esclarecimento ou informação por eles solicitados;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Fonts w:ascii="Arial" w:hAnsi="Arial" w:cs="Arial"/>
          <w:bCs/>
          <w:iCs/>
          <w:lang w:val="pt-BR"/>
        </w:rPr>
        <w:t>Código de Defesa do Consumidor (Lei nº 8.078, de 1990</w:t>
      </w:r>
      <w:r>
        <w:rPr>
          <w:rFonts w:ascii="Arial" w:hAnsi="Arial" w:cs="Arial"/>
          <w:bCs/>
          <w:iCs/>
          <w:lang w:val="pt-BR"/>
        </w:rPr>
        <w:fldChar w:fldCharType="end"/>
      </w:r>
      <w:r>
        <w:rPr>
          <w:rFonts w:ascii="Arial" w:hAnsi="Arial" w:cs="Arial"/>
          <w:bCs/>
          <w:iCs/>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xml:space="preserve"> HYPERLINK "http://www.planalto.gov.br/ccivil_03/_ato2019-2022/2021/lei/L14133.htm" \l "art48" </w:instrText>
      </w:r>
      <w:r>
        <w:fldChar w:fldCharType="separate"/>
      </w:r>
      <w:r>
        <w:rPr>
          <w:rFonts w:ascii="Arial" w:hAnsi="Arial" w:cs="Arial"/>
          <w:bCs/>
          <w:iCs/>
          <w:lang w:val="pt-BR"/>
        </w:rPr>
        <w:t>artigo 48, parágrafo único,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Fiscal do contrato, no prazo de 24 (vinte e quatro) horas, qualquer ocorrência anormal ou acidente que se verifique no local dos serviços.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Prestar todo esclarecimento ou informação solicitada pelo Contratante ou por seus prepostos, garantindo-lhes o acesso, a qualquer tempo, ao local dos trabalhos, bem como aos documentos relativos à execução do empreendimento.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Promover a guarda, manutenção e vigilância de materiais, ferramentas, e tudo o que for necessário à execução do objeto, durante a vigência do contrato.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Conduzir os trabalhos com estrita observância às normas da legislação pertinente, cumprindo as determinações dos Poderes Públicos, mantendo sempre limpo o local dos serviços e nas melhores condições de segurança, higiene e disciplina.</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Submeter previamente, por escrito, ao Contratante, para análise e aprovação, quaisquer mudanças nos métodos executivos que fujam às especificações do memorial descritivo ou instrumento congênere.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Manter durante toda a vigência do contrato, em compatibilidade com as obrigações assumidas, todas as condições exigidas para habilitação na licitação; </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 parágrafo único</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Guardar sigilo sobre todas as informações obtidas em decorrência do cumprimento do contrato;</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Fonts w:ascii="Arial" w:hAnsi="Arial" w:cs="Arial"/>
          <w:bCs/>
          <w:iCs/>
          <w:lang w:val="pt-BR"/>
        </w:rPr>
        <w:t>art. 124, II, d, da Lei nº 14.133, de 2021</w:t>
      </w:r>
      <w:r>
        <w:rPr>
          <w:rFonts w:ascii="Arial" w:hAnsi="Arial" w:cs="Arial"/>
          <w:bCs/>
          <w:iCs/>
          <w:lang w:val="pt-BR"/>
        </w:rPr>
        <w:fldChar w:fldCharType="end"/>
      </w:r>
      <w:r>
        <w:rPr>
          <w:rFonts w:ascii="Arial" w:hAnsi="Arial" w:cs="Arial"/>
          <w:bCs/>
          <w:iCs/>
          <w:lang w:val="pt-BR"/>
        </w:rPr>
        <w:t>;</w:t>
      </w:r>
    </w:p>
    <w:p>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além dos postulados legais vigentes de âmbito federal, estadual ou municipal, as normas de segurança do Contratante.</w:t>
      </w:r>
    </w:p>
    <w:p>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lang w:val="pt-BR"/>
        </w:rPr>
      </w:pPr>
      <w:r>
        <w:rPr>
          <w:rFonts w:ascii="Arial" w:hAnsi="Arial" w:cs="Arial"/>
          <w:bCs/>
          <w:i w:val="0"/>
          <w:iCs/>
          <w:color w:val="auto"/>
          <w:lang w:val="pt-BR"/>
        </w:rPr>
        <w:t>Realizar os serviços de manutenção e assistência técnica no(s) seguinte(s) local(is) ... (inserir endereço(s));</w:t>
      </w:r>
    </w:p>
    <w:p>
      <w:pPr>
        <w:pStyle w:val="19"/>
        <w:widowControl/>
        <w:numPr>
          <w:ilvl w:val="3"/>
          <w:numId w:val="3"/>
        </w:numPr>
        <w:tabs>
          <w:tab w:val="left" w:pos="426"/>
        </w:tabs>
        <w:autoSpaceDE/>
        <w:autoSpaceDN/>
        <w:spacing w:before="120" w:after="120" w:line="276" w:lineRule="auto"/>
        <w:jc w:val="both"/>
        <w:rPr>
          <w:rFonts w:ascii="Arial" w:hAnsi="Arial" w:cs="Arial"/>
          <w:bCs/>
          <w:i w:val="0"/>
          <w:iCs/>
          <w:color w:val="auto"/>
          <w:lang w:val="pt-BR"/>
        </w:rPr>
      </w:pPr>
      <w:r>
        <w:rPr>
          <w:rFonts w:ascii="Arial" w:hAnsi="Arial" w:cs="Arial"/>
          <w:bCs/>
          <w:i w:val="0"/>
          <w:iCs/>
          <w:color w:val="auto"/>
          <w:lang w:val="pt-BR"/>
        </w:rPr>
        <w:t xml:space="preserve">O técnico deverá se deslocar ao local da repartição, salvo se o contratado tiver unidade de prestação de serviços em distância de [....] (inserir distância conforme avaliação técnica) do local demandado. </w:t>
      </w:r>
    </w:p>
    <w:p>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lang w:val="pt-BR"/>
        </w:rPr>
      </w:pPr>
      <w:r>
        <w:rPr>
          <w:rFonts w:ascii="Arial" w:hAnsi="Arial" w:cs="Arial"/>
          <w:bCs/>
          <w:i w:val="0"/>
          <w:iCs/>
          <w:color w:val="auto"/>
          <w:lang w:val="pt-BR"/>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lang w:val="pt-BR"/>
        </w:rPr>
      </w:pPr>
      <w:r>
        <w:rPr>
          <w:rFonts w:ascii="Arial" w:hAnsi="Arial" w:cs="Arial"/>
          <w:bCs/>
          <w:i w:val="0"/>
          <w:iCs/>
          <w:color w:val="auto"/>
          <w:lang w:val="pt-BR"/>
        </w:rPr>
        <w:t>Ceder ao Contratante todos os direitos patrimoniais relativos ao objeto contratado, o qual poderá ser livremente utilizado e/ou alterado em outras ocasiões, sem necessidade de nova autorização do Contratado.</w:t>
      </w:r>
    </w:p>
    <w:p>
      <w:pPr>
        <w:pStyle w:val="19"/>
        <w:widowControl/>
        <w:numPr>
          <w:ilvl w:val="3"/>
          <w:numId w:val="3"/>
        </w:numPr>
        <w:tabs>
          <w:tab w:val="left" w:pos="426"/>
        </w:tabs>
        <w:autoSpaceDE/>
        <w:autoSpaceDN/>
        <w:spacing w:before="120" w:after="120" w:line="276" w:lineRule="auto"/>
        <w:jc w:val="both"/>
        <w:rPr>
          <w:rFonts w:ascii="Arial" w:hAnsi="Arial" w:cs="Arial"/>
          <w:bCs/>
          <w:i w:val="0"/>
          <w:iCs/>
          <w:color w:val="auto"/>
          <w:lang w:val="pt-BR"/>
        </w:rPr>
      </w:pPr>
      <w:r>
        <w:rPr>
          <w:rFonts w:ascii="Arial" w:hAnsi="Arial" w:cs="Arial"/>
          <w:bCs/>
          <w:i w:val="0"/>
          <w:iCs/>
          <w:color w:val="auto"/>
          <w:lang w:val="pt-BR"/>
        </w:rPr>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pPr>
        <w:pStyle w:val="19"/>
        <w:numPr>
          <w:ilvl w:val="0"/>
          <w:numId w:val="3"/>
        </w:numPr>
        <w:tabs>
          <w:tab w:val="left" w:pos="284"/>
        </w:tabs>
        <w:spacing w:line="276" w:lineRule="auto"/>
        <w:ind w:left="0" w:firstLine="0"/>
        <w:rPr>
          <w:rFonts w:ascii="Arial" w:hAnsi="Arial" w:cs="Arial" w:eastAsiaTheme="majorEastAsia"/>
          <w:b/>
          <w:bCs/>
          <w:color w:val="auto"/>
          <w:highlight w:val="yellow"/>
          <w:lang w:eastAsia="pt-BR"/>
        </w:rPr>
      </w:pPr>
      <w:r>
        <w:rPr>
          <w:rFonts w:ascii="Arial" w:hAnsi="Arial" w:cs="Arial" w:eastAsiaTheme="majorEastAsia"/>
          <w:b/>
          <w:bCs/>
          <w:color w:val="auto"/>
          <w:lang w:val="pt-BR" w:eastAsia="pt-BR"/>
        </w:rPr>
        <w:t xml:space="preserve"> </w:t>
      </w:r>
      <w:r>
        <w:rPr>
          <w:rFonts w:ascii="Arial" w:hAnsi="Arial" w:cs="Arial" w:eastAsiaTheme="majorEastAsia"/>
          <w:b/>
          <w:bCs/>
          <w:color w:val="auto"/>
          <w:lang w:eastAsia="pt-BR"/>
        </w:rPr>
        <w:t>CLÁUSULA DÉCIMA- OBRIGAÇÕES PERTINENTES À LGPD</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As partes deverão cumprir a </w:t>
      </w:r>
      <w:r>
        <w:rPr>
          <w:color w:val="auto"/>
        </w:rPr>
        <w:fldChar w:fldCharType="begin"/>
      </w:r>
      <w:r>
        <w:rPr>
          <w:color w:val="auto"/>
        </w:rPr>
        <w:instrText xml:space="preserve"> HYPERLINK "https://www.planalto.gov.br/ccivil_03/_ato2015-2018/2018/lei/l13709.htm" </w:instrText>
      </w:r>
      <w:r>
        <w:rPr>
          <w:color w:val="auto"/>
        </w:rPr>
        <w:fldChar w:fldCharType="separate"/>
      </w:r>
      <w:r>
        <w:rPr>
          <w:rFonts w:ascii="Arial" w:hAnsi="Arial" w:cs="Arial"/>
          <w:bCs/>
          <w:iCs/>
          <w:color w:val="auto"/>
          <w:lang w:val="pt-BR"/>
        </w:rPr>
        <w:t>Lei nº 13.709, de 14 de agosto de 2018 (LGPD)</w:t>
      </w:r>
      <w:r>
        <w:rPr>
          <w:rFonts w:ascii="Arial" w:hAnsi="Arial" w:cs="Arial"/>
          <w:bCs/>
          <w:iCs/>
          <w:color w:val="auto"/>
          <w:lang w:val="pt-BR"/>
        </w:rPr>
        <w:fldChar w:fldCharType="end"/>
      </w:r>
      <w:r>
        <w:rPr>
          <w:rFonts w:ascii="Arial" w:hAnsi="Arial" w:cs="Arial"/>
          <w:bCs/>
          <w:iCs/>
          <w:color w:val="auto"/>
          <w:lang w:val="pt-BR"/>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Os dados obtidos somente poderão ser utilizados para as finalidades que justificaram seu acesso e de acordo com a boa-fé e com os princípios do </w:t>
      </w:r>
      <w:r>
        <w:rPr>
          <w:color w:val="auto"/>
        </w:rPr>
        <w:fldChar w:fldCharType="begin"/>
      </w:r>
      <w:r>
        <w:rPr>
          <w:color w:val="auto"/>
        </w:rPr>
        <w:instrText xml:space="preserve"> HYPERLINK "https://www.planalto.gov.br/ccivil_03/_ato2015-2018/2018/lei/l13709.htm" \l "art6" </w:instrText>
      </w:r>
      <w:r>
        <w:rPr>
          <w:color w:val="auto"/>
        </w:rPr>
        <w:fldChar w:fldCharType="separate"/>
      </w:r>
      <w:r>
        <w:rPr>
          <w:rFonts w:ascii="Arial" w:hAnsi="Arial" w:cs="Arial"/>
          <w:bCs/>
          <w:iCs/>
          <w:color w:val="auto"/>
          <w:lang w:val="pt-BR"/>
        </w:rPr>
        <w:t>art. 6º da LGPD</w:t>
      </w:r>
      <w:r>
        <w:rPr>
          <w:rFonts w:ascii="Arial" w:hAnsi="Arial" w:cs="Arial"/>
          <w:bCs/>
          <w:iCs/>
          <w:color w:val="auto"/>
          <w:lang w:val="pt-BR"/>
        </w:rPr>
        <w:fldChar w:fldCharType="end"/>
      </w:r>
      <w:r>
        <w:rPr>
          <w:rFonts w:ascii="Arial" w:hAnsi="Arial" w:cs="Arial"/>
          <w:bCs/>
          <w:iCs/>
          <w:color w:val="auto"/>
          <w:lang w:val="pt-BR"/>
        </w:rP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É vedado o compartilhamento com terceiros dos dados obtidos fora das hipóteses permitidas em Lei.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A Administração deverá ser informada no prazo de 5 (cinco) dias úteis sobre todos os contratos de suboperação firmados ou que venham a ser celebrados pelo Contratado.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Terminado o tratamento dos dados nos termos do </w:t>
      </w:r>
      <w:r>
        <w:rPr>
          <w:color w:val="auto"/>
        </w:rPr>
        <w:fldChar w:fldCharType="begin"/>
      </w:r>
      <w:r>
        <w:rPr>
          <w:color w:val="auto"/>
        </w:rPr>
        <w:instrText xml:space="preserve"> HYPERLINK "https://www.planalto.gov.br/ccivil_03/_ato2015-2018/2018/lei/l13709.htm" \l "art15" </w:instrText>
      </w:r>
      <w:r>
        <w:rPr>
          <w:color w:val="auto"/>
        </w:rPr>
        <w:fldChar w:fldCharType="separate"/>
      </w:r>
      <w:r>
        <w:rPr>
          <w:rFonts w:ascii="Arial" w:hAnsi="Arial" w:cs="Arial"/>
          <w:bCs/>
          <w:iCs/>
          <w:color w:val="auto"/>
          <w:lang w:val="pt-BR"/>
        </w:rPr>
        <w:t>art. 15 da LGPD</w:t>
      </w:r>
      <w:r>
        <w:rPr>
          <w:rFonts w:ascii="Arial" w:hAnsi="Arial" w:cs="Arial"/>
          <w:bCs/>
          <w:iCs/>
          <w:color w:val="auto"/>
          <w:lang w:val="pt-BR"/>
        </w:rPr>
        <w:fldChar w:fldCharType="end"/>
      </w:r>
      <w:r>
        <w:rPr>
          <w:rFonts w:ascii="Arial" w:hAnsi="Arial" w:cs="Arial"/>
          <w:bCs/>
          <w:iCs/>
          <w:color w:val="auto"/>
          <w:lang w:val="pt-BR"/>
        </w:rPr>
        <w:t xml:space="preserve">, é dever do contratado eliminá-los, com exceção das hipóteses do </w:t>
      </w:r>
      <w:r>
        <w:rPr>
          <w:color w:val="auto"/>
        </w:rPr>
        <w:fldChar w:fldCharType="begin"/>
      </w:r>
      <w:r>
        <w:rPr>
          <w:color w:val="auto"/>
        </w:rPr>
        <w:instrText xml:space="preserve"> HYPERLINK "https://www.planalto.gov.br/ccivil_03/_ato2015-2018/2018/lei/l13709.htm" \l "art16" </w:instrText>
      </w:r>
      <w:r>
        <w:rPr>
          <w:color w:val="auto"/>
        </w:rPr>
        <w:fldChar w:fldCharType="separate"/>
      </w:r>
      <w:r>
        <w:rPr>
          <w:rFonts w:ascii="Arial" w:hAnsi="Arial" w:cs="Arial"/>
          <w:bCs/>
          <w:iCs/>
          <w:color w:val="auto"/>
          <w:lang w:val="pt-BR"/>
        </w:rPr>
        <w:t>art. 16 da LGPD</w:t>
      </w:r>
      <w:r>
        <w:rPr>
          <w:rFonts w:ascii="Arial" w:hAnsi="Arial" w:cs="Arial"/>
          <w:bCs/>
          <w:iCs/>
          <w:color w:val="auto"/>
          <w:lang w:val="pt-BR"/>
        </w:rPr>
        <w:fldChar w:fldCharType="end"/>
      </w:r>
      <w:r>
        <w:rPr>
          <w:rFonts w:ascii="Arial" w:hAnsi="Arial" w:cs="Arial"/>
          <w:bCs/>
          <w:iCs/>
          <w:color w:val="auto"/>
          <w:lang w:val="pt-BR"/>
        </w:rPr>
        <w:t xml:space="preserve">, incluindo aquelas em que houver necessidade de guarda de documentação para fins de comprovação do cumprimento de obrigações legais ou contratuais e somente enquanto não prescritas essas obrigações.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É dever do contratado orientar e treinar seus empregados sobre os deveres, requisitos e responsabilidades decorrentes da LGPD.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O Contratado deverá exigir de suboperadores e subcontratados o cumprimento dos deveres da presente cláusula, permanecendo integralmente responsável por garantir sua observância.</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 Contratante poderá realizar diligência para aferir o cumprimento dessa cláusula, devendo o Contratado atender prontamente eventuais pedidos de comprovação formulados.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 Contratado deverá prestar, no prazo fixado pelo Contratante, prorrogável justificadamente, quaisquer informações acerca dos dados pessoais para cumprimento da LGPD, inclusive quanto a eventual descarte realizado. </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Bancos de dados formados a partir de contratos administrativos, notadamente aqueles que se proponham a armazenar dados pessoais, devem ser mantidos em ambiente virtual controlado, com registro individual rastreável de tratamentos realizados (</w:t>
      </w:r>
      <w:r>
        <w:rPr>
          <w:color w:val="auto"/>
        </w:rPr>
        <w:fldChar w:fldCharType="begin"/>
      </w:r>
      <w:r>
        <w:rPr>
          <w:color w:val="auto"/>
        </w:rPr>
        <w:instrText xml:space="preserve"> HYPERLINK "https://www.planalto.gov.br/ccivil_03/_ato2015-2018/2018/lei/l13709.htm" </w:instrText>
      </w:r>
      <w:r>
        <w:rPr>
          <w:color w:val="auto"/>
        </w:rPr>
        <w:fldChar w:fldCharType="separate"/>
      </w:r>
      <w:r>
        <w:rPr>
          <w:rFonts w:ascii="Arial" w:hAnsi="Arial" w:cs="Arial"/>
          <w:bCs/>
          <w:iCs/>
          <w:color w:val="auto"/>
          <w:lang w:val="pt-BR"/>
        </w:rPr>
        <w:t>LGPD, art. 37</w:t>
      </w:r>
      <w:r>
        <w:rPr>
          <w:rFonts w:ascii="Arial" w:hAnsi="Arial" w:cs="Arial"/>
          <w:bCs/>
          <w:iCs/>
          <w:color w:val="auto"/>
          <w:lang w:val="pt-BR"/>
        </w:rPr>
        <w:fldChar w:fldCharType="end"/>
      </w:r>
      <w:r>
        <w:rPr>
          <w:rFonts w:ascii="Arial" w:hAnsi="Arial" w:cs="Arial"/>
          <w:bCs/>
          <w:iCs/>
          <w:color w:val="auto"/>
          <w:lang w:val="pt-BR"/>
        </w:rPr>
        <w:t>), com cada acesso, data, horário e registro da finalidade, para efeito de responsabilização, em caso de eventuais omissões, desvios ou abusos.</w:t>
      </w:r>
    </w:p>
    <w:p>
      <w:pPr>
        <w:pStyle w:val="19"/>
        <w:widowControl/>
        <w:numPr>
          <w:ilvl w:val="2"/>
          <w:numId w:val="3"/>
        </w:numPr>
        <w:tabs>
          <w:tab w:val="left" w:pos="993"/>
        </w:tabs>
        <w:autoSpaceDE/>
        <w:autoSpaceDN/>
        <w:spacing w:before="120" w:after="120" w:line="276" w:lineRule="auto"/>
        <w:ind w:left="993" w:hanging="851"/>
        <w:jc w:val="both"/>
        <w:rPr>
          <w:rFonts w:ascii="Arial" w:hAnsi="Arial" w:cs="Arial"/>
          <w:bCs/>
          <w:iCs/>
          <w:color w:val="auto"/>
          <w:lang w:val="pt-BR"/>
        </w:rPr>
      </w:pPr>
      <w:r>
        <w:rPr>
          <w:rFonts w:ascii="Arial" w:hAnsi="Arial" w:cs="Arial"/>
          <w:bCs/>
          <w:iCs/>
          <w:color w:val="auto"/>
          <w:lang w:val="pt-BR"/>
        </w:rPr>
        <w:t>Os referidos bancos de dados devem ser desenvolvidos em formato interoperável, a fim de garantir a reutilização desses dados pela Administração nas hipóteses previstas na LGPD.</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O contrato está sujeito a ser alterado nos procedimentos pertinentes ao tratamento de dados pessoais, quando indicado pela autoridade competente, em especial a ANPD por meio de opiniões técnicas ou recomendações, editadas na forma da LGPD.</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Os contratos e convênios de que trata o </w:t>
      </w:r>
      <w:r>
        <w:rPr>
          <w:color w:val="auto"/>
        </w:rPr>
        <w:fldChar w:fldCharType="begin"/>
      </w:r>
      <w:r>
        <w:rPr>
          <w:color w:val="auto"/>
        </w:rPr>
        <w:instrText xml:space="preserve"> HYPERLINK "https://www.planalto.gov.br/ccivil_03/_ato2015-2018/2018/lei/l13709.htm" \l "art26§1" </w:instrText>
      </w:r>
      <w:r>
        <w:rPr>
          <w:color w:val="auto"/>
        </w:rPr>
        <w:fldChar w:fldCharType="separate"/>
      </w:r>
      <w:r>
        <w:rPr>
          <w:rFonts w:ascii="Arial" w:hAnsi="Arial" w:cs="Arial"/>
          <w:bCs/>
          <w:iCs/>
          <w:color w:val="auto"/>
          <w:lang w:val="pt-BR"/>
        </w:rPr>
        <w:t>§ 1º do art. 26 da LGPD</w:t>
      </w:r>
      <w:r>
        <w:rPr>
          <w:rFonts w:ascii="Arial" w:hAnsi="Arial" w:cs="Arial"/>
          <w:bCs/>
          <w:iCs/>
          <w:color w:val="auto"/>
          <w:lang w:val="pt-BR"/>
        </w:rPr>
        <w:fldChar w:fldCharType="end"/>
      </w:r>
      <w:r>
        <w:rPr>
          <w:rFonts w:ascii="Arial" w:hAnsi="Arial" w:cs="Arial"/>
          <w:bCs/>
          <w:iCs/>
          <w:color w:val="auto"/>
          <w:lang w:val="pt-BR"/>
        </w:rPr>
        <w:t xml:space="preserve"> deverão ser comunicados à autoridade nacional.</w:t>
      </w:r>
    </w:p>
    <w:p>
      <w:pPr>
        <w:pStyle w:val="19"/>
        <w:widowControl/>
        <w:tabs>
          <w:tab w:val="left" w:pos="426"/>
        </w:tabs>
        <w:autoSpaceDE/>
        <w:autoSpaceDN/>
        <w:spacing w:before="120" w:after="120" w:line="276" w:lineRule="auto"/>
        <w:ind w:left="0"/>
        <w:jc w:val="both"/>
        <w:rPr>
          <w:rFonts w:ascii="Arial" w:hAnsi="Arial" w:cs="Arial"/>
          <w:bCs/>
          <w:iCs/>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GARANTIA DE EXECUÇÃO (art. 92, XII)</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pPr>
        <w:pStyle w:val="19"/>
        <w:widowControl/>
        <w:tabs>
          <w:tab w:val="left" w:pos="426"/>
        </w:tabs>
        <w:autoSpaceDE/>
        <w:autoSpaceDN/>
        <w:spacing w:before="120" w:after="120" w:line="276" w:lineRule="auto"/>
        <w:ind w:left="0"/>
        <w:jc w:val="both"/>
        <w:rPr>
          <w:rFonts w:ascii="Arial" w:hAnsi="Arial" w:cs="Arial"/>
          <w:bCs/>
          <w:i/>
          <w:color w:val="FF0000"/>
          <w:lang w:val="pt-BR"/>
        </w:rPr>
      </w:pPr>
    </w:p>
    <w:p>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SEGUNDA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bCs/>
          <w:iCs/>
          <w:lang w:val="pt-BR"/>
        </w:rPr>
        <w:t>Lei nº 14.133, de 2021</w:t>
      </w:r>
      <w:r>
        <w:rPr>
          <w:bCs/>
          <w:iCs/>
          <w:lang w:val="pt-BR"/>
        </w:rPr>
        <w:fldChar w:fldCharType="end"/>
      </w:r>
      <w:r>
        <w:rPr>
          <w:rFonts w:ascii="Arial" w:hAnsi="Arial" w:cs="Arial"/>
          <w:bCs/>
          <w:iCs/>
          <w:lang w:val="pt-BR"/>
        </w:rPr>
        <w:t>, o contratado que:</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12.1, de 15% a 30%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12.1, de 15%  do valor do Contrato. </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12.1, a multa será de 15%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12.1, a multa será de 5% a 10%  do valor do Contrato.</w:t>
      </w:r>
    </w:p>
    <w:p>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12.1, a multa será de 05% a 15% do valor do Contrato, ressalvadas as seguintes infrações:</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aplicação das sanções previstas neste Contrato não exclui, em hipótese alguma, a obrigação de reparação integral do dano causado ao Contratante</w:t>
      </w:r>
      <w:r>
        <w:t xml:space="preserve"> (</w:t>
      </w:r>
      <w:r>
        <w:fldChar w:fldCharType="begin"/>
      </w:r>
      <w:r>
        <w:instrText xml:space="preserve"> HYPERLINK "http://www.planalto.gov.br/ccivil_03/_ato2019-2022/2021/lei/L14133.htm" \l "art156§9" </w:instrText>
      </w:r>
      <w:r>
        <w:fldChar w:fldCharType="separate"/>
      </w:r>
      <w:r>
        <w:rPr>
          <w:rStyle w:val="9"/>
        </w:rPr>
        <w:t>art. 156, §9º,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pPr>
      <w:r>
        <w:rPr>
          <w:rFonts w:ascii="Arial" w:hAnsi="Arial" w:eastAsia="Arial" w:cs="Arial"/>
        </w:rPr>
        <w:t>Todas as sanções previstas neste Contrato poderão ser aplicadas cumulativamente com a multa</w:t>
      </w:r>
      <w:r>
        <w:t xml:space="preserve"> (</w:t>
      </w:r>
      <w:r>
        <w:fldChar w:fldCharType="begin"/>
      </w:r>
      <w:r>
        <w:instrText xml:space="preserve"> HYPERLINK "http://www.planalto.gov.br/ccivil_03/_ato2019-2022/2021/lei/L14133.htm" \l "art156§7" </w:instrText>
      </w:r>
      <w:r>
        <w:fldChar w:fldCharType="separate"/>
      </w:r>
      <w:r>
        <w:rPr>
          <w:rStyle w:val="9"/>
        </w:rPr>
        <w:t>art. 156, §7º,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pPr>
      <w:r>
        <w:rPr>
          <w:rFonts w:ascii="Arial" w:hAnsi="Arial" w:eastAsia="Arial" w:cs="Arial"/>
        </w:rPr>
        <w:t>Antes da aplicação da multa será facultada a defesa do interessado no prazo de 15 (quinze) dias úteis, contado da data de sua intimação</w:t>
      </w:r>
      <w:r>
        <w:t xml:space="preserve"> (</w:t>
      </w:r>
      <w:r>
        <w:fldChar w:fldCharType="begin"/>
      </w:r>
      <w:r>
        <w:instrText xml:space="preserve"> HYPERLINK "http://www.planalto.gov.br/ccivil_03/_ato2019-2022/2021/lei/L14133.htm" \l "art157" </w:instrText>
      </w:r>
      <w:r>
        <w:fldChar w:fldCharType="separate"/>
      </w:r>
      <w:r>
        <w:rPr>
          <w:rStyle w:val="9"/>
        </w:rPr>
        <w:t>art. 157,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pPr>
      <w:r>
        <w:rPr>
          <w:rFonts w:ascii="Arial" w:hAnsi="Arial" w:eastAsia="Arial" w:cs="Arial"/>
        </w:rPr>
        <w:t>Se a multa aplicada e as indenizações cabíveis forem superiores ao valor do pagamento eventualmente devido pelo Contratante ao Contratado, além da perda desse valor, a diferença será descontada da garantia prestada ou será cobrada judicialmente</w:t>
      </w:r>
      <w:r>
        <w:t xml:space="preserve"> (</w:t>
      </w:r>
      <w:r>
        <w:fldChar w:fldCharType="begin"/>
      </w:r>
      <w:r>
        <w:instrText xml:space="preserve"> HYPERLINK "http://www.planalto.gov.br/ccivil_03/_ato2019-2022/2021/lei/L14133.htm" \l "art156§8" </w:instrText>
      </w:r>
      <w:r>
        <w:fldChar w:fldCharType="separate"/>
      </w:r>
      <w:r>
        <w:rPr>
          <w:rStyle w:val="9"/>
        </w:rPr>
        <w:t>art. 156, §8º, da Lei nº 14.133, de 2021</w:t>
      </w:r>
      <w:r>
        <w:rPr>
          <w:rStyle w:val="9"/>
        </w:rPr>
        <w:fldChar w:fldCharType="end"/>
      </w:r>
      <w:r>
        <w:t>).</w:t>
      </w:r>
    </w:p>
    <w:p>
      <w:pPr>
        <w:pStyle w:val="19"/>
        <w:widowControl/>
        <w:numPr>
          <w:ilvl w:val="2"/>
          <w:numId w:val="3"/>
        </w:numPr>
        <w:tabs>
          <w:tab w:val="left" w:pos="426"/>
        </w:tabs>
        <w:autoSpaceDE/>
        <w:autoSpaceDN/>
        <w:spacing w:before="120" w:after="120" w:line="276" w:lineRule="auto"/>
        <w:jc w:val="both"/>
        <w:rPr>
          <w:rFonts w:ascii="Arial" w:hAnsi="Arial" w:eastAsia="Arial" w:cs="Arial"/>
        </w:rPr>
      </w:pPr>
      <w:r>
        <w:rPr>
          <w:rFonts w:ascii="Arial" w:hAnsi="Arial" w:eastAsia="Arial" w:cs="Arial"/>
        </w:rPr>
        <w:t>Previamente ao encaminhamento à cobrança judicial, a multa poderá ser recolhida administrativamente no prazo máximo de 30 (trinta) dias, a contar da data do recebimento da comunicação enviada pela autoridade competente.</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aplicação das sanções realizar-se-á em processo administrativo que assegure o contraditório e a ampla defesa ao Contratado, observando-se o procedimento previsto no</w:t>
      </w:r>
      <w:r>
        <w:t xml:space="preserve"> </w:t>
      </w:r>
      <w:r>
        <w:rPr>
          <w:rFonts w:ascii="Arial" w:hAnsi="Arial" w:eastAsia="Arial" w:cs="Arial"/>
          <w:b/>
          <w:bCs/>
        </w:rPr>
        <w:t>caput</w:t>
      </w:r>
      <w:r>
        <w:rPr>
          <w:rFonts w:ascii="Arial" w:hAnsi="Arial" w:eastAsia="Arial" w:cs="Arial"/>
        </w:rPr>
        <w:t xml:space="preserve"> e parágrafos do</w:t>
      </w:r>
      <w:r>
        <w:t xml:space="preserve"> </w:t>
      </w:r>
      <w:r>
        <w:fldChar w:fldCharType="begin"/>
      </w:r>
      <w:r>
        <w:instrText xml:space="preserve"> HYPERLINK "http://www.planalto.gov.br/ccivil_03/_ato2019-2022/2021/lei/L14133.htm" \l "art158" </w:instrText>
      </w:r>
      <w:r>
        <w:fldChar w:fldCharType="separate"/>
      </w:r>
      <w:r>
        <w:rPr>
          <w:rStyle w:val="9"/>
        </w:rPr>
        <w:t>art. 158 da Lei nº 14.133, de 2021</w:t>
      </w:r>
      <w:r>
        <w:rPr>
          <w:rStyle w:val="9"/>
        </w:rPr>
        <w:fldChar w:fldCharType="end"/>
      </w:r>
      <w:r>
        <w:rPr>
          <w:rFonts w:ascii="Arial" w:hAnsi="Arial" w:eastAsia="Arial" w:cs="Arial"/>
        </w:rPr>
        <w:t>, para as penalidades de impedimento de licitar e contratar e de declaração de inidoneidade para licitar ou contratar.</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Na aplicação das sanções serão considerados</w:t>
      </w:r>
      <w:r>
        <w:t xml:space="preserve"> (</w:t>
      </w:r>
      <w:r>
        <w:fldChar w:fldCharType="begin"/>
      </w:r>
      <w:r>
        <w:instrText xml:space="preserve"> HYPERLINK "http://www.planalto.gov.br/ccivil_03/_ato2019-2022/2021/lei/L14133.htm" \l "art156§1" </w:instrText>
      </w:r>
      <w:r>
        <w:fldChar w:fldCharType="separate"/>
      </w:r>
      <w:r>
        <w:rPr>
          <w:rStyle w:val="9"/>
        </w:rPr>
        <w:t>art. 156, §1º, da Lei nº 14.133, de 2021</w:t>
      </w:r>
      <w:r>
        <w:rPr>
          <w:rStyle w:val="9"/>
        </w:rPr>
        <w:fldChar w:fldCharType="end"/>
      </w:r>
      <w:r>
        <w:t>):</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atos previstos como infrações administrativas na</w:t>
      </w:r>
      <w:r>
        <w:t xml:space="preserve"> </w:t>
      </w:r>
      <w:r>
        <w:fldChar w:fldCharType="begin"/>
      </w:r>
      <w:r>
        <w:instrText xml:space="preserve"> HYPERLINK "http://www.planalto.gov.br/ccivil_03/_ato2019-2022/2021/lei/L14133.htm" </w:instrText>
      </w:r>
      <w:r>
        <w:fldChar w:fldCharType="separate"/>
      </w:r>
      <w:r>
        <w:rPr>
          <w:rStyle w:val="9"/>
        </w:rPr>
        <w:t>Lei nº 14.133, de 2021</w:t>
      </w:r>
      <w:r>
        <w:rPr>
          <w:rStyle w:val="9"/>
        </w:rPr>
        <w:fldChar w:fldCharType="end"/>
      </w:r>
      <w:r>
        <w:rPr>
          <w:rFonts w:ascii="Arial" w:hAnsi="Arial" w:eastAsia="Arial" w:cs="Arial"/>
        </w:rPr>
        <w:t>, ou em outras leis de licitações e contratos da Administração Pública que também sejam tipificados como atos lesivos na</w:t>
      </w:r>
      <w:r>
        <w:t xml:space="preserve"> </w:t>
      </w:r>
      <w:r>
        <w:fldChar w:fldCharType="begin"/>
      </w:r>
      <w:r>
        <w:instrText xml:space="preserve"> HYPERLINK "https://www.planalto.gov.br/ccivil_03/_ato2011-2014/2013/lei/l12846.htm" </w:instrText>
      </w:r>
      <w:r>
        <w:fldChar w:fldCharType="separate"/>
      </w:r>
      <w:r>
        <w:rPr>
          <w:rStyle w:val="9"/>
        </w:rPr>
        <w:t>Lei nº 12.846, de 2013</w:t>
      </w:r>
      <w:r>
        <w:rPr>
          <w:rStyle w:val="9"/>
        </w:rPr>
        <w:fldChar w:fldCharType="end"/>
      </w:r>
      <w:r>
        <w:rPr>
          <w:rFonts w:ascii="Arial" w:hAnsi="Arial" w:eastAsia="Arial" w:cs="Arial"/>
        </w:rPr>
        <w:t>, serão apurados e julgados conjuntamente, nos mesmos autos, observados o rito procedimental e autoridade competente definidos na referida Lei</w:t>
      </w:r>
      <w:r>
        <w:t xml:space="preserve"> (</w:t>
      </w:r>
      <w:r>
        <w:fldChar w:fldCharType="begin"/>
      </w:r>
      <w:r>
        <w:instrText xml:space="preserve"> HYPERLINK "http://www.planalto.gov.br/ccivil_03/_ato2019-2022/2021/lei/L14133.htm%25art159" </w:instrText>
      </w:r>
      <w:r>
        <w:fldChar w:fldCharType="separate"/>
      </w:r>
      <w:r>
        <w:rPr>
          <w:rStyle w:val="9"/>
        </w:rPr>
        <w:t>art. 159</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t xml:space="preserve"> (</w:t>
      </w:r>
      <w:r>
        <w:fldChar w:fldCharType="begin"/>
      </w:r>
      <w:r>
        <w:instrText xml:space="preserve"> HYPERLINK "http://www.planalto.gov.br/ccivil_03/_ato2019-2022/2021/lei/L14133.htm" \l "art160" </w:instrText>
      </w:r>
      <w:r>
        <w:fldChar w:fldCharType="separate"/>
      </w:r>
      <w:r>
        <w:rPr>
          <w:rStyle w:val="9"/>
        </w:rPr>
        <w:t>art. 160, da Lei nº 14.133, de 2021</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rPr>
          <w:i/>
          <w:iCs/>
        </w:rPr>
      </w:pPr>
      <w:r>
        <w:t xml:space="preserve"> </w:t>
      </w:r>
      <w:r>
        <w:rPr>
          <w:rFonts w:ascii="Arial" w:hAnsi="Arial" w:eastAsia="Arial" w:cs="Arial"/>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r>
        <w:t xml:space="preserve"> (</w:t>
      </w:r>
      <w:r>
        <w:fldChar w:fldCharType="begin"/>
      </w:r>
      <w:r>
        <w:instrText xml:space="preserve"> HYPERLINK "http://www.planalto.gov.br/ccivil_03/_ato2019-2022/2021/lei/L14133.htm" \l "art161" </w:instrText>
      </w:r>
      <w:r>
        <w:fldChar w:fldCharType="separate"/>
      </w:r>
      <w:r>
        <w:rPr>
          <w:rStyle w:val="9"/>
        </w:rPr>
        <w:t>Art. 161, da Lei nº 14.133, de 2021</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As sanções de impedimento de licitar e contratar e declaração de inidoneidade para licitar ou contratar são passíveis de reabilitação na forma do</w:t>
      </w:r>
      <w:r>
        <w:t xml:space="preserve"> </w:t>
      </w:r>
      <w:r>
        <w:fldChar w:fldCharType="begin"/>
      </w:r>
      <w:r>
        <w:instrText xml:space="preserve"> HYPERLINK "http://www.planalto.gov.br/ccivil_03/_ato2019-2022/2021/lei/L14133.htm" \l "163" </w:instrText>
      </w:r>
      <w:r>
        <w:fldChar w:fldCharType="separate"/>
      </w:r>
      <w:r>
        <w:rPr>
          <w:rStyle w:val="9"/>
        </w:rPr>
        <w:t>art. 163 da Lei nº 14.133/21</w:t>
      </w:r>
      <w:r>
        <w:rPr>
          <w:rStyle w:val="9"/>
        </w:rPr>
        <w:fldChar w:fldCharType="end"/>
      </w:r>
      <w:r>
        <w:t>.</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w:t>
      </w:r>
      <w:r>
        <w:t xml:space="preserve"> </w:t>
      </w:r>
      <w:r>
        <w:fldChar w:fldCharType="begin"/>
      </w:r>
      <w:r>
        <w:instrText xml:space="preserve"> HYPERLINK "https://www.gov.br/compras/pt-br/acesso-a-informacao/legislacao/instrucoes-normativas/instrucao-normativa-seges-me-no-26-de-13-de-abril-de-2022" </w:instrText>
      </w:r>
      <w:r>
        <w:fldChar w:fldCharType="separate"/>
      </w:r>
      <w:r>
        <w:rPr>
          <w:rStyle w:val="9"/>
        </w:rPr>
        <w:t>Normativa SEGES/ME nº 26, de 13 de abril de 2022</w:t>
      </w:r>
      <w:r>
        <w:rPr>
          <w:rStyle w:val="9"/>
        </w:rPr>
        <w:fldChar w:fldCharType="end"/>
      </w:r>
      <w:r>
        <w:t xml:space="preserve">. </w:t>
      </w:r>
    </w:p>
    <w:p>
      <w:pPr>
        <w:pStyle w:val="34"/>
        <w:numPr>
          <w:ilvl w:val="0"/>
          <w:numId w:val="3"/>
        </w:numPr>
        <w:tabs>
          <w:tab w:val="left" w:pos="284"/>
          <w:tab w:val="left" w:pos="993"/>
        </w:tabs>
        <w:spacing w:line="276" w:lineRule="auto"/>
        <w:ind w:left="0" w:firstLine="0"/>
        <w:rPr>
          <w:rFonts w:ascii="Arial" w:hAnsi="Arial" w:cs="Arial"/>
        </w:rPr>
      </w:pPr>
      <w:r>
        <w:rPr>
          <w:rFonts w:ascii="Arial" w:hAnsi="Arial" w:cs="Arial"/>
          <w:sz w:val="22"/>
          <w:szCs w:val="22"/>
        </w:rPr>
        <w:t>- CLÁUSULA DÉCIMA TERCEIRA – DA EXTINÇÃO CONTRATUAL</w:t>
      </w:r>
      <w:r>
        <w:rPr>
          <w:rFonts w:ascii="Arial" w:hAnsi="Arial" w:cs="Arial"/>
        </w:rPr>
        <w:t xml:space="preserve"> (</w:t>
      </w:r>
      <w:r>
        <w:fldChar w:fldCharType="begin"/>
      </w:r>
      <w:r>
        <w:instrText xml:space="preserve"> HYPERLINK "http://www.planalto.gov.br/ccivil_03/_ato2019-2022/2021/lei/L14133.htm" \l "art92" </w:instrText>
      </w:r>
      <w:r>
        <w:fldChar w:fldCharType="separate"/>
      </w:r>
      <w:r>
        <w:rPr>
          <w:rStyle w:val="9"/>
          <w:rFonts w:ascii="Arial" w:hAnsi="Arial" w:cs="Arial"/>
        </w:rPr>
        <w:t>art. 92, XIX</w:t>
      </w:r>
      <w:r>
        <w:rPr>
          <w:rStyle w:val="9"/>
          <w:rFonts w:ascii="Arial" w:hAnsi="Arial" w:cs="Arial"/>
        </w:rPr>
        <w:fldChar w:fldCharType="end"/>
      </w:r>
      <w:r>
        <w:rPr>
          <w:rFonts w:ascii="Arial" w:hAnsi="Arial" w:cs="Arial"/>
        </w:rPr>
        <w:t xml:space="preserve">) </w:t>
      </w:r>
    </w:p>
    <w:p>
      <w:pPr>
        <w:pStyle w:val="19"/>
        <w:widowControl/>
        <w:numPr>
          <w:ilvl w:val="1"/>
          <w:numId w:val="3"/>
        </w:numPr>
        <w:tabs>
          <w:tab w:val="left" w:pos="709"/>
        </w:tabs>
        <w:autoSpaceDE/>
        <w:autoSpaceDN/>
        <w:spacing w:before="120" w:after="120" w:line="276" w:lineRule="auto"/>
        <w:ind w:left="0" w:firstLine="0"/>
        <w:jc w:val="both"/>
        <w:rPr>
          <w:rFonts w:ascii="Arial" w:hAnsi="Arial" w:eastAsia="Arial" w:cs="Arial"/>
        </w:rPr>
      </w:pPr>
      <w:r>
        <w:rPr>
          <w:rFonts w:ascii="Arial" w:hAnsi="Arial" w:eastAsia="Arial" w:cs="Arial"/>
        </w:rPr>
        <w:t>O contrato será extinto quando cumpridas as obrigações de ambas as partes, ainda que isso ocorra antes do prazo estipulado para tanto.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as obrigações não forem cumpridas no prazo estipulado, a vigência ficará prorrogada até a conclusão do objeto, caso em que deverá a Administração providenciar a readequação do cronograma fixado para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Quando a não conclusão do contrato referida no item anterior decorrer de culpa do contratado:</w:t>
      </w:r>
    </w:p>
    <w:p>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 xml:space="preserve">ficará ele constituído em mora, sendo-lhe aplicáveis as respectivas sanções administrativas; e  </w:t>
      </w:r>
    </w:p>
    <w:p>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poderá a Administração optar pela extinção do contrato e, nesse caso, adotará as medidas admitidas em lei para a continuidade da execução contratual</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antes de cumpridas as obrigações nele estipuladas, ou antes do prazo nele fixado, por algum dos motivos previstos no</w:t>
      </w:r>
      <w:r>
        <w:t xml:space="preserve"> </w:t>
      </w:r>
      <w:r>
        <w:fldChar w:fldCharType="begin"/>
      </w:r>
      <w:r>
        <w:instrText xml:space="preserve"> HYPERLINK "http://www.planalto.gov.br/ccivil_03/_ato2019-2022/2021/lei/L14133.htm" \l "art137" </w:instrText>
      </w:r>
      <w:r>
        <w:fldChar w:fldCharType="separate"/>
      </w:r>
      <w:r>
        <w:rPr>
          <w:rStyle w:val="9"/>
        </w:rPr>
        <w:t>artigo 137 da Lei nº 14.133/21</w:t>
      </w:r>
      <w:r>
        <w:rPr>
          <w:rStyle w:val="9"/>
        </w:rPr>
        <w:fldChar w:fldCharType="end"/>
      </w:r>
      <w:r>
        <w:rPr>
          <w:rFonts w:ascii="Arial" w:hAnsi="Arial" w:eastAsia="Arial" w:cs="Arial"/>
        </w:rPr>
        <w:t>, bem como amigavelmente, assegurados o contraditório e a ampla defesa.</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Nesta hipótese, aplicam-se também os</w:t>
      </w:r>
      <w:r>
        <w:t xml:space="preserve"> </w:t>
      </w:r>
      <w:r>
        <w:fldChar w:fldCharType="begin"/>
      </w:r>
      <w:r>
        <w:instrText xml:space="preserve"> HYPERLINK "http://www.planalto.gov.br/ccivil_03/_ato2019-2022/2021/lei/L14133.htm" \l "art138" </w:instrText>
      </w:r>
      <w:r>
        <w:fldChar w:fldCharType="separate"/>
      </w:r>
      <w:r>
        <w:rPr>
          <w:rStyle w:val="9"/>
        </w:rPr>
        <w:t>artigos 138 e 139</w:t>
      </w:r>
      <w:r>
        <w:rPr>
          <w:rStyle w:val="9"/>
        </w:rPr>
        <w:fldChar w:fldCharType="end"/>
      </w:r>
      <w:r>
        <w:t xml:space="preserve"> </w:t>
      </w:r>
      <w:r>
        <w:rPr>
          <w:rFonts w:ascii="Arial" w:hAnsi="Arial" w:eastAsia="Arial" w:cs="Arial"/>
        </w:rPr>
        <w:t>da mesma Lei.</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alteração social ou a modificação da finalidade ou da estrutura da empresa não ensejará a extinção se não restringir sua capacidade de concluir o contrato.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 operação implicar mudança da pessoa jurídica contratada, deverá ser formalizado termo aditivo para alteração subjetiva.</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termo de extinção, sempre que possível, será precedido: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Balanço dos eventos contratuais já cumpridos ou parcialmente cumpridos;</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Relação dos pagamentos já efetuados e ainda devidos;</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Indenizações e multas.</w:t>
      </w:r>
    </w:p>
    <w:p>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extinção do contrato não configura óbice para o reconhecimento do desequilíbrio econômico-financeiro, hipótese em que será concedida indenização por meio de termo indenizatório</w:t>
      </w:r>
      <w:r>
        <w:t xml:space="preserve"> (</w:t>
      </w:r>
      <w:r>
        <w:fldChar w:fldCharType="begin"/>
      </w:r>
      <w:r>
        <w:instrText xml:space="preserve"> HYPERLINK "http://www.planalto.gov.br/ccivil_03/_ato2019-2022/2021/lei/L14133.htm" \l "art131" </w:instrText>
      </w:r>
      <w:r>
        <w:fldChar w:fldCharType="separate"/>
      </w:r>
      <w:r>
        <w:rPr>
          <w:rStyle w:val="9"/>
        </w:rPr>
        <w:t xml:space="preserve">art. 131, </w:t>
      </w:r>
      <w:r>
        <w:rPr>
          <w:rStyle w:val="9"/>
          <w:i/>
          <w:iCs/>
        </w:rPr>
        <w:t xml:space="preserve">caput, </w:t>
      </w:r>
      <w:r>
        <w:rPr>
          <w:rStyle w:val="9"/>
        </w:rPr>
        <w:t>da Lei n.º 14.133, de 2021).</w:t>
      </w:r>
      <w:r>
        <w:rPr>
          <w:rStyle w:val="9"/>
        </w:rPr>
        <w:fldChar w:fldCharType="end"/>
      </w:r>
      <w:r>
        <w:t xml:space="preserve"> </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34"/>
        <w:numPr>
          <w:ilvl w:val="0"/>
          <w:numId w:val="3"/>
        </w:numPr>
        <w:tabs>
          <w:tab w:val="left" w:pos="284"/>
          <w:tab w:val="left" w:pos="993"/>
        </w:tabs>
        <w:spacing w:line="276" w:lineRule="auto"/>
        <w:ind w:left="0" w:firstLine="0"/>
      </w:pPr>
      <w:r>
        <w:rPr>
          <w:rFonts w:ascii="Arial" w:hAnsi="Arial" w:cs="Arial"/>
          <w:sz w:val="22"/>
          <w:szCs w:val="22"/>
        </w:rPr>
        <w:t xml:space="preserve"> CLÁUSULA DÉCIMA QUARTA – DOTAÇÃO ORÇAMENTÁRIA</w:t>
      </w:r>
      <w:r>
        <w:t xml:space="preserve"> </w:t>
      </w:r>
      <w:r>
        <w:rPr>
          <w:sz w:val="22"/>
          <w:szCs w:val="22"/>
        </w:rPr>
        <w:t>(</w:t>
      </w:r>
      <w:r>
        <w:fldChar w:fldCharType="begin"/>
      </w:r>
      <w:r>
        <w:instrText xml:space="preserve"> HYPERLINK "http://www.planalto.gov.br/ccivil_03/_ato2019-2022/2021/lei/L14133.htm" \l "art92" </w:instrText>
      </w:r>
      <w:r>
        <w:fldChar w:fldCharType="separate"/>
      </w:r>
      <w:r>
        <w:rPr>
          <w:rStyle w:val="9"/>
          <w:sz w:val="22"/>
          <w:szCs w:val="22"/>
        </w:rPr>
        <w:t>art. 92, VIII</w:t>
      </w:r>
      <w:r>
        <w:rPr>
          <w:rStyle w:val="9"/>
          <w:sz w:val="22"/>
          <w:szCs w:val="22"/>
        </w:rPr>
        <w:fldChar w:fldCharType="end"/>
      </w:r>
      <w:r>
        <w:rPr>
          <w:sz w:val="22"/>
          <w:szCs w:val="22"/>
        </w:rPr>
        <w:t>)</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As despesas decorrentes da presente contratação correrão à conta de recursos específicos consignados no Orçamento do Município, na forma abaixo:</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Fonte de Recurso: 1600;</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Elemento de Despesa: 3.3.90.39.62;</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Programas de Trabalho: </w:t>
      </w:r>
      <w:r>
        <w:rPr>
          <w:rFonts w:ascii="Arial" w:hAnsi="Arial" w:eastAsia="Arial" w:cs="Arial"/>
          <w:b/>
          <w:bCs/>
        </w:rPr>
        <w:t xml:space="preserve"> 36001.10.302.1003.2.139 – 36001.10.301.1003.2.134.</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b/>
          <w:bCs/>
        </w:rPr>
        <w:t xml:space="preserve"> As notas fiscais de serviço deverão ser emitidas em nome do Fundo Municipal de Saúde – CNPJ 11.399.442/0001-79, endereço: Avenida Alberto Braune, 224, 2º andar/sala 221 – Centro/NF-CEP 28613-000.</w:t>
      </w:r>
    </w:p>
    <w:p>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A dotação relativa aos exercícios financeiros subsequentes será indicada após aprovação da Lei Orçamentária respectiva e liberação dos créditos correspondentes, mediante apostilamento.</w:t>
      </w:r>
    </w:p>
    <w:p>
      <w:pPr>
        <w:pStyle w:val="34"/>
        <w:numPr>
          <w:ilvl w:val="0"/>
          <w:numId w:val="3"/>
        </w:numPr>
        <w:tabs>
          <w:tab w:val="left" w:pos="284"/>
          <w:tab w:val="left" w:pos="993"/>
        </w:tabs>
        <w:spacing w:line="276" w:lineRule="auto"/>
        <w:ind w:left="0" w:firstLine="0"/>
        <w:rPr>
          <w:rFonts w:ascii="Arial" w:hAnsi="Arial" w:cs="Arial"/>
          <w:color w:val="FFFFFF" w:themeColor="background1"/>
          <w14:textFill>
            <w14:solidFill>
              <w14:schemeClr w14:val="bg1"/>
            </w14:solidFill>
          </w14:textFill>
        </w:rPr>
      </w:pPr>
      <w:r>
        <w:rPr>
          <w:rFonts w:ascii="Arial" w:hAnsi="Arial" w:cs="Arial"/>
          <w:sz w:val="22"/>
          <w:szCs w:val="22"/>
        </w:rPr>
        <w:t xml:space="preserve"> CLÁUSULA DÉCIMA QUINTA – ALTERAÇÕES</w:t>
      </w:r>
    </w:p>
    <w:p>
      <w:pPr>
        <w:pStyle w:val="19"/>
        <w:numPr>
          <w:ilvl w:val="1"/>
          <w:numId w:val="3"/>
        </w:numPr>
        <w:tabs>
          <w:tab w:val="left" w:pos="426"/>
        </w:tabs>
        <w:ind w:left="0" w:firstLine="0"/>
        <w:jc w:val="both"/>
        <w:rPr>
          <w:color w:val="000000"/>
        </w:rPr>
      </w:pPr>
      <w:r>
        <w:rPr>
          <w:rFonts w:ascii="Arial" w:hAnsi="Arial" w:eastAsia="Arial" w:cs="Arial"/>
        </w:rPr>
        <w:t>Eventuais alterações contratuais reger-se-ão pela disciplina dos</w:t>
      </w:r>
      <w:r>
        <w:t xml:space="preserve"> </w:t>
      </w:r>
      <w:r>
        <w:fldChar w:fldCharType="begin"/>
      </w:r>
      <w:r>
        <w:instrText xml:space="preserve"> HYPERLINK "http://www.planalto.gov.br/ccivil_03/_ato2019-2022/2021/lei/L14133.htm" \l "art124" </w:instrText>
      </w:r>
      <w:r>
        <w:fldChar w:fldCharType="separate"/>
      </w:r>
      <w:r>
        <w:rPr>
          <w:rStyle w:val="9"/>
        </w:rPr>
        <w:t>arts. 124 e seguintes da Lei nº 14.133, de 2021</w:t>
      </w:r>
      <w:r>
        <w:rPr>
          <w:rStyle w:val="9"/>
        </w:rPr>
        <w:fldChar w:fldCharType="end"/>
      </w:r>
      <w:r>
        <w:t>.</w:t>
      </w:r>
    </w:p>
    <w:p>
      <w:pPr>
        <w:pStyle w:val="19"/>
        <w:numPr>
          <w:ilvl w:val="1"/>
          <w:numId w:val="3"/>
        </w:numPr>
        <w:tabs>
          <w:tab w:val="left" w:pos="426"/>
        </w:tabs>
        <w:ind w:left="0" w:firstLine="0"/>
        <w:jc w:val="both"/>
        <w:rPr>
          <w:rFonts w:ascii="Arial" w:hAnsi="Arial" w:eastAsia="Arial" w:cs="Arial"/>
        </w:rPr>
      </w:pPr>
      <w:r>
        <w:rPr>
          <w:rFonts w:ascii="Arial" w:hAnsi="Arial" w:eastAsia="Arial" w:cs="Arial"/>
        </w:rPr>
        <w:t>O contratado é obrigado a aceitar, nas mesmas condições contratuais, os acréscimos ou supressões que se fizerem necessários, até o limite de 25% (vinte e cinco por cento) do valor inicial atualizado do contrato.</w:t>
      </w:r>
    </w:p>
    <w:p>
      <w:pPr>
        <w:pStyle w:val="19"/>
        <w:numPr>
          <w:ilvl w:val="1"/>
          <w:numId w:val="3"/>
        </w:numPr>
        <w:tabs>
          <w:tab w:val="left" w:pos="426"/>
        </w:tabs>
        <w:ind w:left="0" w:firstLine="0"/>
        <w:jc w:val="both"/>
        <w:rPr>
          <w:rFonts w:ascii="Arial" w:hAnsi="Arial" w:eastAsia="Arial" w:cs="Arial"/>
        </w:rPr>
      </w:pPr>
      <w:r>
        <w:rPr>
          <w:rFonts w:ascii="Arial" w:hAnsi="Arial" w:eastAsia="Arial" w:cs="Arial"/>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19"/>
        <w:numPr>
          <w:ilvl w:val="1"/>
          <w:numId w:val="3"/>
        </w:numPr>
        <w:tabs>
          <w:tab w:val="left" w:pos="426"/>
        </w:tabs>
        <w:ind w:left="0" w:firstLine="0"/>
        <w:jc w:val="both"/>
      </w:pPr>
      <w:r>
        <w:rPr>
          <w:rFonts w:ascii="Arial" w:hAnsi="Arial" w:eastAsia="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Pr>
        <w:t>art. 136 da Lei nº 14.133, de 2021</w:t>
      </w:r>
      <w:r>
        <w:rPr>
          <w:rStyle w:val="9"/>
        </w:rPr>
        <w:fldChar w:fldCharType="end"/>
      </w:r>
      <w:r>
        <w:t>.</w:t>
      </w:r>
    </w:p>
    <w:p>
      <w:pPr>
        <w:pStyle w:val="19"/>
        <w:widowControl/>
        <w:tabs>
          <w:tab w:val="left" w:pos="426"/>
        </w:tabs>
        <w:autoSpaceDE/>
        <w:autoSpaceDN/>
        <w:spacing w:before="120" w:after="120" w:line="276" w:lineRule="auto"/>
        <w:ind w:left="0"/>
        <w:jc w:val="both"/>
      </w:pPr>
      <w:r>
        <w:rPr>
          <w:rFonts w:ascii="Arial" w:hAnsi="Arial" w:cs="Arial"/>
        </w:rPr>
        <w:t xml:space="preserve"> </w:t>
      </w:r>
    </w:p>
    <w:p>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pPr>
        <w:pStyle w:val="19"/>
        <w:numPr>
          <w:ilvl w:val="1"/>
          <w:numId w:val="3"/>
        </w:numPr>
        <w:tabs>
          <w:tab w:val="left" w:pos="426"/>
        </w:tabs>
        <w:ind w:left="0" w:firstLine="0"/>
        <w:jc w:val="both"/>
      </w:pPr>
      <w:r>
        <w:rPr>
          <w:rFonts w:ascii="Arial" w:hAnsi="Arial" w:eastAsia="Arial" w:cs="Arial"/>
        </w:rPr>
        <w:t>Incumbirá ao contratante divulgar o presente instrumento no Portal Nacional de Contratações Públicas (PNCP), na forma prevista no</w:t>
      </w:r>
      <w:r>
        <w:t xml:space="preserve"> </w:t>
      </w:r>
      <w:r>
        <w:fldChar w:fldCharType="begin"/>
      </w:r>
      <w:r>
        <w:instrText xml:space="preserve"> HYPERLINK "http://www.planalto.gov.br/ccivil_03/_ato2019-2022/2021/lei/L14133.htm" \l "art94" </w:instrText>
      </w:r>
      <w:r>
        <w:fldChar w:fldCharType="separate"/>
      </w:r>
      <w:r>
        <w:rPr>
          <w:rStyle w:val="9"/>
        </w:rPr>
        <w:t>art. 94 da Lei 14.133, de 2021</w:t>
      </w:r>
      <w:r>
        <w:rPr>
          <w:rStyle w:val="9"/>
        </w:rPr>
        <w:fldChar w:fldCharType="end"/>
      </w:r>
      <w:r>
        <w:rPr>
          <w:rFonts w:ascii="Arial" w:hAnsi="Arial" w:eastAsia="Arial" w:cs="Arial"/>
        </w:rPr>
        <w:t>, bem como no respectivo sítio oficial na Internet, em atenção ao art. 91, caput, da Lei n.º 14.133, de 2021, e ao</w:t>
      </w:r>
      <w:r>
        <w:t xml:space="preserve"> </w:t>
      </w:r>
      <w:r>
        <w:fldChar w:fldCharType="begin"/>
      </w:r>
      <w:r>
        <w:instrText xml:space="preserve"> HYPERLINK "https://www.planalto.gov.br/ccivil_03/_ato2011-2014/2011/lei/l12527.htm" \l "art8§2" </w:instrText>
      </w:r>
      <w:r>
        <w:fldChar w:fldCharType="separate"/>
      </w:r>
      <w:r>
        <w:rPr>
          <w:rStyle w:val="9"/>
        </w:rPr>
        <w:t>art. 8º, §2º, da Lei n. 12.527, de 2011</w:t>
      </w:r>
      <w:r>
        <w:rPr>
          <w:rStyle w:val="9"/>
        </w:rPr>
        <w:fldChar w:fldCharType="end"/>
      </w:r>
      <w:r>
        <w:t xml:space="preserve">, c/c </w:t>
      </w:r>
      <w:r>
        <w:fldChar w:fldCharType="begin"/>
      </w:r>
      <w:r>
        <w:instrText xml:space="preserve"> HYPERLINK "https://www.planalto.gov.br/ccivil_03/_ato2011-2014/2012/decreto/d7724.htm" \l "art7§3" </w:instrText>
      </w:r>
      <w:r>
        <w:fldChar w:fldCharType="separate"/>
      </w:r>
      <w:r>
        <w:rPr>
          <w:rStyle w:val="9"/>
        </w:rPr>
        <w:t>art. 7º, §3º, inciso V, do Decreto n. 7.724, de 2012</w:t>
      </w:r>
      <w:r>
        <w:rPr>
          <w:rStyle w:val="9"/>
        </w:rPr>
        <w:fldChar w:fldCharType="end"/>
      </w:r>
      <w:r>
        <w:t>.</w:t>
      </w:r>
    </w:p>
    <w:p>
      <w:pPr>
        <w:pStyle w:val="19"/>
        <w:tabs>
          <w:tab w:val="left" w:pos="426"/>
        </w:tabs>
        <w:ind w:left="0"/>
        <w:jc w:val="both"/>
      </w:pPr>
    </w:p>
    <w:p>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pPr>
        <w:pStyle w:val="19"/>
        <w:numPr>
          <w:ilvl w:val="1"/>
          <w:numId w:val="3"/>
        </w:numPr>
        <w:tabs>
          <w:tab w:val="left" w:pos="426"/>
        </w:tabs>
        <w:ind w:left="0" w:firstLine="0"/>
        <w:jc w:val="both"/>
        <w:rPr>
          <w:rFonts w:ascii="Arial" w:hAnsi="Arial" w:cs="Arial"/>
          <w:lang w:val="pt-BR"/>
        </w:rPr>
      </w:pPr>
      <w:r>
        <w:rPr>
          <w:rFonts w:ascii="Arial" w:hAnsi="Arial" w:cs="Arial"/>
        </w:rPr>
        <w:t xml:space="preserve">É </w:t>
      </w:r>
      <w:r>
        <w:t>eleito</w:t>
      </w:r>
      <w:r>
        <w:rPr>
          <w:rFonts w:ascii="Arial" w:hAnsi="Arial" w:cs="Arial"/>
        </w:rPr>
        <w:t xml:space="preserve">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pPr>
        <w:pStyle w:val="19"/>
        <w:numPr>
          <w:ilvl w:val="1"/>
          <w:numId w:val="3"/>
        </w:numPr>
        <w:tabs>
          <w:tab w:val="left" w:pos="426"/>
        </w:tabs>
        <w:ind w:left="0" w:firstLine="0"/>
        <w:jc w:val="both"/>
        <w:rPr>
          <w:rFonts w:ascii="Arial" w:hAnsi="Arial" w:cs="Arial"/>
        </w:rPr>
      </w:pPr>
      <w:r>
        <w:rPr>
          <w:rFonts w:ascii="Arial" w:hAnsi="Arial" w:cs="Arial"/>
        </w:rPr>
        <w:t xml:space="preserve">Para firmeza e </w:t>
      </w:r>
      <w:r>
        <w:t>validade</w:t>
      </w:r>
      <w:r>
        <w:rPr>
          <w:rFonts w:ascii="Arial" w:hAnsi="Arial" w:cs="Arial"/>
        </w:rPr>
        <w:t xml:space="preserve"> do pactuado, o presente Termo de Contrato foi lavrado em 03 (três) vias de igual teor, que, depois de lido e achado em ordem, vai assinado pelos contraentes. </w:t>
      </w:r>
    </w:p>
    <w:p>
      <w:pPr>
        <w:pStyle w:val="19"/>
        <w:tabs>
          <w:tab w:val="left" w:pos="426"/>
        </w:tabs>
        <w:ind w:left="0"/>
        <w:jc w:val="both"/>
        <w:rPr>
          <w:rFonts w:ascii="Arial" w:hAnsi="Arial" w:cs="Arial"/>
        </w:rPr>
      </w:pPr>
    </w:p>
    <w:p>
      <w:pPr>
        <w:spacing w:after="120" w:line="360" w:lineRule="auto"/>
        <w:ind w:right="-15"/>
        <w:jc w:val="right"/>
        <w:rPr>
          <w:rFonts w:ascii="Arial" w:hAnsi="Arial" w:cs="Arial"/>
        </w:rPr>
      </w:pPr>
      <w:r>
        <w:rPr>
          <w:rFonts w:ascii="Arial" w:hAnsi="Arial" w:cs="Arial"/>
        </w:rPr>
        <w:t>...........................................,  .......... de.......................................... de 2026.</w:t>
      </w:r>
    </w:p>
    <w:p>
      <w:pPr>
        <w:spacing w:after="120" w:line="360" w:lineRule="auto"/>
        <w:ind w:right="-15"/>
        <w:jc w:val="right"/>
        <w:rPr>
          <w:rFonts w:ascii="Arial" w:hAnsi="Arial" w:cs="Arial"/>
        </w:rPr>
      </w:pPr>
    </w:p>
    <w:p>
      <w:pPr>
        <w:spacing w:after="120" w:line="360" w:lineRule="auto"/>
        <w:ind w:right="-15"/>
        <w:jc w:val="right"/>
        <w:rPr>
          <w:rFonts w:ascii="Arial" w:hAnsi="Arial" w:cs="Arial"/>
        </w:rPr>
      </w:pPr>
    </w:p>
    <w:p>
      <w:pPr>
        <w:spacing w:after="120"/>
        <w:jc w:val="center"/>
        <w:rPr>
          <w:rFonts w:ascii="Arial" w:hAnsi="Arial" w:cs="Arial"/>
          <w:bCs/>
        </w:rPr>
      </w:pPr>
    </w:p>
    <w:p>
      <w:pPr>
        <w:spacing w:after="120"/>
        <w:jc w:val="center"/>
        <w:rPr>
          <w:rFonts w:ascii="Arial" w:hAnsi="Arial" w:cs="Arial"/>
          <w:bCs/>
        </w:rPr>
      </w:pPr>
      <w:r>
        <w:rPr>
          <w:rFonts w:ascii="Arial" w:hAnsi="Arial" w:cs="Arial"/>
          <w:bCs/>
        </w:rPr>
        <w:t>_________________________</w:t>
      </w:r>
    </w:p>
    <w:p>
      <w:pPr>
        <w:spacing w:after="120"/>
        <w:jc w:val="center"/>
        <w:rPr>
          <w:rFonts w:ascii="Arial" w:hAnsi="Arial" w:cs="Arial"/>
          <w:bCs/>
        </w:rPr>
      </w:pPr>
      <w:r>
        <w:rPr>
          <w:rFonts w:ascii="Arial" w:hAnsi="Arial" w:cs="Arial"/>
          <w:bCs/>
        </w:rPr>
        <w:t>Responsável legal da CONTRATANTE</w:t>
      </w:r>
    </w:p>
    <w:p>
      <w:pPr>
        <w:spacing w:after="120"/>
        <w:jc w:val="center"/>
        <w:rPr>
          <w:rFonts w:ascii="Arial" w:hAnsi="Arial" w:cs="Arial"/>
        </w:rPr>
      </w:pPr>
    </w:p>
    <w:p>
      <w:pPr>
        <w:spacing w:after="120"/>
        <w:jc w:val="center"/>
        <w:rPr>
          <w:rFonts w:ascii="Arial" w:hAnsi="Arial" w:cs="Arial"/>
        </w:rPr>
      </w:pPr>
    </w:p>
    <w:p>
      <w:pPr>
        <w:spacing w:after="120"/>
        <w:jc w:val="center"/>
        <w:rPr>
          <w:rFonts w:ascii="Arial" w:hAnsi="Arial" w:cs="Arial"/>
        </w:rPr>
      </w:pPr>
      <w:r>
        <w:rPr>
          <w:rFonts w:ascii="Arial" w:hAnsi="Arial" w:cs="Arial"/>
        </w:rPr>
        <w:t>_________________________</w:t>
      </w:r>
    </w:p>
    <w:p>
      <w:pPr>
        <w:spacing w:after="120"/>
        <w:jc w:val="center"/>
        <w:rPr>
          <w:rFonts w:ascii="Arial" w:hAnsi="Arial" w:cs="Arial"/>
        </w:rPr>
      </w:pPr>
      <w:r>
        <w:rPr>
          <w:rFonts w:ascii="Arial" w:hAnsi="Arial" w:cs="Arial"/>
        </w:rPr>
        <w:t>Responsável legal da CONTRATADA</w:t>
      </w:r>
    </w:p>
    <w:p>
      <w:pPr>
        <w:spacing w:after="120"/>
        <w:jc w:val="center"/>
        <w:rPr>
          <w:rFonts w:ascii="Arial" w:hAnsi="Arial" w:cs="Arial"/>
        </w:rPr>
      </w:pPr>
    </w:p>
    <w:p>
      <w:pPr>
        <w:spacing w:after="120"/>
        <w:jc w:val="center"/>
        <w:rPr>
          <w:rFonts w:ascii="Arial" w:hAnsi="Arial" w:cs="Arial"/>
        </w:rPr>
      </w:pPr>
    </w:p>
    <w:p>
      <w:pPr>
        <w:spacing w:after="120"/>
        <w:jc w:val="both"/>
        <w:rPr>
          <w:rFonts w:ascii="Arial" w:hAnsi="Arial" w:cs="Arial"/>
        </w:rPr>
      </w:pPr>
      <w:r>
        <w:rPr>
          <w:rFonts w:ascii="Arial" w:hAnsi="Arial" w:cs="Arial"/>
        </w:rPr>
        <w:t>TESTEMUNHAS:</w:t>
      </w:r>
    </w:p>
    <w:p>
      <w:pPr>
        <w:spacing w:after="120"/>
        <w:jc w:val="both"/>
        <w:rPr>
          <w:rFonts w:ascii="Arial" w:hAnsi="Arial" w:cs="Arial"/>
        </w:rPr>
      </w:pPr>
      <w:r>
        <w:rPr>
          <w:rFonts w:ascii="Arial" w:hAnsi="Arial" w:cs="Arial"/>
        </w:rPr>
        <w:t>1-</w:t>
      </w:r>
    </w:p>
    <w:p>
      <w:pPr>
        <w:spacing w:after="120"/>
        <w:jc w:val="both"/>
        <w:rPr>
          <w:rFonts w:ascii="Arial" w:hAnsi="Arial" w:cs="Arial"/>
        </w:rPr>
      </w:pPr>
      <w:r>
        <w:rPr>
          <w:rFonts w:ascii="Arial" w:hAnsi="Arial" w:cs="Arial"/>
        </w:rPr>
        <w:t>2-</w:t>
      </w: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6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ascii="Azo Sans Md" w:hAnsi="Azo Sans Md"/>
        <w:b/>
        <w:bCs/>
        <w:color w:val="000000"/>
        <w:sz w:val="18"/>
        <w:szCs w:val="18"/>
      </w:rPr>
    </w:pPr>
  </w:p>
  <w:p>
    <w:pPr>
      <w:pStyle w:val="15"/>
      <w:jc w:val="center"/>
      <w:rPr>
        <w:rFonts w:ascii="Arial" w:hAnsi="Arial" w:cs="Arial"/>
        <w:color w:val="000000"/>
        <w:sz w:val="18"/>
        <w:szCs w:val="18"/>
      </w:rPr>
    </w:pPr>
    <w:r>
      <w:rPr>
        <w:rFonts w:ascii="Arial" w:hAnsi="Arial" w:cs="Arial"/>
        <w:color w:val="000000"/>
        <w:sz w:val="18"/>
        <w:szCs w:val="18"/>
      </w:rPr>
      <w:t xml:space="preserve">Av. Alberto Braune, nº 224 – </w:t>
    </w:r>
    <w:r>
      <w:rPr>
        <w:rFonts w:hint="default" w:ascii="Arial" w:hAnsi="Arial" w:cs="Arial"/>
        <w:color w:val="000000"/>
        <w:sz w:val="18"/>
        <w:szCs w:val="18"/>
        <w:lang w:val="pt-BR"/>
      </w:rPr>
      <w:t>S</w:t>
    </w:r>
    <w:r>
      <w:rPr>
        <w:rFonts w:ascii="Arial" w:hAnsi="Arial" w:cs="Arial"/>
        <w:color w:val="000000"/>
        <w:sz w:val="18"/>
        <w:szCs w:val="18"/>
      </w:rPr>
      <w:t>obreloja – Centro – Nova Friburgo – RJ</w:t>
    </w:r>
  </w:p>
  <w:p>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hint="default" w:ascii="Arial" w:hAnsi="Arial" w:cs="Arial"/>
        <w:sz w:val="18"/>
        <w:szCs w:val="18"/>
        <w:lang w:val="pt-BR"/>
      </w:rPr>
      <w:t>licitacaopmnf</w:t>
    </w:r>
    <w:r>
      <w:rPr>
        <w:rStyle w:val="9"/>
        <w:rFonts w:ascii="Arial" w:hAnsi="Arial" w:cs="Arial"/>
        <w:sz w:val="18"/>
        <w:szCs w:val="18"/>
      </w:rPr>
      <w:t>@gmail.com</w:t>
    </w:r>
    <w:r>
      <w:rPr>
        <w:rStyle w:val="9"/>
        <w:rFonts w:ascii="Arial" w:hAnsi="Arial" w:cs="Arial"/>
        <w:sz w:val="18"/>
        <w:szCs w:val="18"/>
      </w:rPr>
      <w:fldChar w:fldCharType="end"/>
    </w:r>
    <w:r>
      <w:rPr>
        <w:rFonts w:ascii="Arial" w:hAnsi="Arial" w:cs="Arial"/>
        <w:color w:val="000000"/>
        <w:sz w:val="18"/>
        <w:szCs w:val="18"/>
      </w:rPr>
      <w:t xml:space="preserve"> – Telefone: (22) 2525-9100  -</w:t>
    </w:r>
  </w:p>
  <w:p>
    <w:pPr>
      <w:pStyle w:val="15"/>
      <w:jc w:val="center"/>
      <w:rPr>
        <w:rFonts w:ascii="Arial" w:hAnsi="Arial" w:cs="Arial"/>
        <w:color w:val="000000"/>
        <w:sz w:val="18"/>
        <w:szCs w:val="18"/>
      </w:rPr>
    </w:pPr>
    <w:r>
      <w:rPr>
        <w:rFonts w:ascii="Arial" w:hAnsi="Arial" w:cs="Arial"/>
        <w:color w:val="000000"/>
        <w:sz w:val="18"/>
        <w:szCs w:val="18"/>
      </w:rPr>
      <w:t>(22) 2525-9101</w:t>
    </w:r>
  </w:p>
  <w:p>
    <w:pPr>
      <w:pStyle w:val="15"/>
      <w:jc w:val="center"/>
      <w:rPr>
        <w:rFonts w:ascii="Arial" w:hAnsi="Arial" w:cs="Arial"/>
        <w:color w:val="000000"/>
        <w:sz w:val="18"/>
        <w:szCs w:val="18"/>
      </w:rPr>
    </w:pPr>
  </w:p>
  <w:p>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left="-218" w:leftChars="0" w:hanging="66" w:firstLineChars="0"/>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1)"/>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highlight w:val="none"/>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329BF"/>
    <w:rsid w:val="00043FA7"/>
    <w:rsid w:val="00055A35"/>
    <w:rsid w:val="00060815"/>
    <w:rsid w:val="00064A3F"/>
    <w:rsid w:val="000659B7"/>
    <w:rsid w:val="0007531B"/>
    <w:rsid w:val="00085E40"/>
    <w:rsid w:val="00090A03"/>
    <w:rsid w:val="00090C31"/>
    <w:rsid w:val="00092735"/>
    <w:rsid w:val="00097D7B"/>
    <w:rsid w:val="000A1E64"/>
    <w:rsid w:val="000A3199"/>
    <w:rsid w:val="000B23ED"/>
    <w:rsid w:val="000C75B5"/>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79D7"/>
    <w:rsid w:val="001149D8"/>
    <w:rsid w:val="001272CC"/>
    <w:rsid w:val="00130DCF"/>
    <w:rsid w:val="00134FCE"/>
    <w:rsid w:val="00135F0B"/>
    <w:rsid w:val="0014449B"/>
    <w:rsid w:val="00147B9F"/>
    <w:rsid w:val="0015173F"/>
    <w:rsid w:val="0015751B"/>
    <w:rsid w:val="00165D70"/>
    <w:rsid w:val="001767E4"/>
    <w:rsid w:val="00185DBF"/>
    <w:rsid w:val="00187C1B"/>
    <w:rsid w:val="00193060"/>
    <w:rsid w:val="001A0D41"/>
    <w:rsid w:val="001A1733"/>
    <w:rsid w:val="001B0676"/>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4522"/>
    <w:rsid w:val="002663BD"/>
    <w:rsid w:val="00266B10"/>
    <w:rsid w:val="00276B5D"/>
    <w:rsid w:val="0028199E"/>
    <w:rsid w:val="00284EA1"/>
    <w:rsid w:val="0028504B"/>
    <w:rsid w:val="00296174"/>
    <w:rsid w:val="002A4753"/>
    <w:rsid w:val="002A5731"/>
    <w:rsid w:val="002A7071"/>
    <w:rsid w:val="002B28F4"/>
    <w:rsid w:val="002B3DAB"/>
    <w:rsid w:val="002D6243"/>
    <w:rsid w:val="002E43FD"/>
    <w:rsid w:val="002E71FD"/>
    <w:rsid w:val="002F2CC8"/>
    <w:rsid w:val="002F585C"/>
    <w:rsid w:val="00315F43"/>
    <w:rsid w:val="00320761"/>
    <w:rsid w:val="0032285B"/>
    <w:rsid w:val="00323F3D"/>
    <w:rsid w:val="00326DB2"/>
    <w:rsid w:val="003370B0"/>
    <w:rsid w:val="003378B0"/>
    <w:rsid w:val="00342284"/>
    <w:rsid w:val="003444FD"/>
    <w:rsid w:val="00347799"/>
    <w:rsid w:val="0035743C"/>
    <w:rsid w:val="003578AC"/>
    <w:rsid w:val="0036128D"/>
    <w:rsid w:val="003649A2"/>
    <w:rsid w:val="00366D5F"/>
    <w:rsid w:val="00370B10"/>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6587"/>
    <w:rsid w:val="00442048"/>
    <w:rsid w:val="0044502E"/>
    <w:rsid w:val="004549BE"/>
    <w:rsid w:val="00461F93"/>
    <w:rsid w:val="00466044"/>
    <w:rsid w:val="00466BF6"/>
    <w:rsid w:val="004735E6"/>
    <w:rsid w:val="0047582C"/>
    <w:rsid w:val="00475936"/>
    <w:rsid w:val="0048007A"/>
    <w:rsid w:val="00490E4C"/>
    <w:rsid w:val="004959AC"/>
    <w:rsid w:val="004A09DC"/>
    <w:rsid w:val="004A1537"/>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73D04"/>
    <w:rsid w:val="00594591"/>
    <w:rsid w:val="005C402B"/>
    <w:rsid w:val="005D7CC0"/>
    <w:rsid w:val="005E2922"/>
    <w:rsid w:val="005E753D"/>
    <w:rsid w:val="005F5E8D"/>
    <w:rsid w:val="005F6177"/>
    <w:rsid w:val="00604469"/>
    <w:rsid w:val="00612436"/>
    <w:rsid w:val="006142F9"/>
    <w:rsid w:val="00617943"/>
    <w:rsid w:val="00617E05"/>
    <w:rsid w:val="00620E2E"/>
    <w:rsid w:val="00623F21"/>
    <w:rsid w:val="0062482D"/>
    <w:rsid w:val="006306EF"/>
    <w:rsid w:val="00633BD8"/>
    <w:rsid w:val="00637E49"/>
    <w:rsid w:val="00641674"/>
    <w:rsid w:val="00645026"/>
    <w:rsid w:val="00646682"/>
    <w:rsid w:val="006709DA"/>
    <w:rsid w:val="0067457F"/>
    <w:rsid w:val="0068504B"/>
    <w:rsid w:val="00691421"/>
    <w:rsid w:val="006A1B6A"/>
    <w:rsid w:val="006B62AB"/>
    <w:rsid w:val="006C7188"/>
    <w:rsid w:val="006D48A5"/>
    <w:rsid w:val="006D4909"/>
    <w:rsid w:val="006D6562"/>
    <w:rsid w:val="006E5958"/>
    <w:rsid w:val="006E635F"/>
    <w:rsid w:val="006F0ECE"/>
    <w:rsid w:val="007168B3"/>
    <w:rsid w:val="00722F56"/>
    <w:rsid w:val="007270C7"/>
    <w:rsid w:val="00735ADD"/>
    <w:rsid w:val="00741433"/>
    <w:rsid w:val="007476E1"/>
    <w:rsid w:val="0075018C"/>
    <w:rsid w:val="007506FB"/>
    <w:rsid w:val="0075652C"/>
    <w:rsid w:val="00763341"/>
    <w:rsid w:val="00773AA0"/>
    <w:rsid w:val="007767C7"/>
    <w:rsid w:val="00776D41"/>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1112"/>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242C"/>
    <w:rsid w:val="0089518A"/>
    <w:rsid w:val="008A046D"/>
    <w:rsid w:val="008A31DA"/>
    <w:rsid w:val="008A72D1"/>
    <w:rsid w:val="008B1D7C"/>
    <w:rsid w:val="008B5745"/>
    <w:rsid w:val="008B71AC"/>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2CFF"/>
    <w:rsid w:val="009162EB"/>
    <w:rsid w:val="0092129B"/>
    <w:rsid w:val="009213D5"/>
    <w:rsid w:val="009327CB"/>
    <w:rsid w:val="009335AB"/>
    <w:rsid w:val="00941301"/>
    <w:rsid w:val="00941655"/>
    <w:rsid w:val="00944FFE"/>
    <w:rsid w:val="00954199"/>
    <w:rsid w:val="009553C6"/>
    <w:rsid w:val="00956E65"/>
    <w:rsid w:val="00971993"/>
    <w:rsid w:val="00974672"/>
    <w:rsid w:val="00974A4B"/>
    <w:rsid w:val="00975829"/>
    <w:rsid w:val="0097688D"/>
    <w:rsid w:val="0097702B"/>
    <w:rsid w:val="009872FB"/>
    <w:rsid w:val="009877CB"/>
    <w:rsid w:val="009A16F5"/>
    <w:rsid w:val="009B3712"/>
    <w:rsid w:val="009C02ED"/>
    <w:rsid w:val="009C3548"/>
    <w:rsid w:val="009D2CA1"/>
    <w:rsid w:val="009E2340"/>
    <w:rsid w:val="009F2F85"/>
    <w:rsid w:val="00A06D2F"/>
    <w:rsid w:val="00A07238"/>
    <w:rsid w:val="00A111BA"/>
    <w:rsid w:val="00A14FF7"/>
    <w:rsid w:val="00A229E2"/>
    <w:rsid w:val="00A23D36"/>
    <w:rsid w:val="00A27B94"/>
    <w:rsid w:val="00A327A0"/>
    <w:rsid w:val="00A74974"/>
    <w:rsid w:val="00A75B6C"/>
    <w:rsid w:val="00A87002"/>
    <w:rsid w:val="00A92914"/>
    <w:rsid w:val="00A94653"/>
    <w:rsid w:val="00A96E16"/>
    <w:rsid w:val="00AA12A7"/>
    <w:rsid w:val="00AA4EF9"/>
    <w:rsid w:val="00AC1427"/>
    <w:rsid w:val="00AC1FD2"/>
    <w:rsid w:val="00AC5178"/>
    <w:rsid w:val="00AC69AD"/>
    <w:rsid w:val="00AD022C"/>
    <w:rsid w:val="00AD7246"/>
    <w:rsid w:val="00AE2539"/>
    <w:rsid w:val="00AE7153"/>
    <w:rsid w:val="00AF4EE0"/>
    <w:rsid w:val="00AF5DD4"/>
    <w:rsid w:val="00AF6B88"/>
    <w:rsid w:val="00B0084D"/>
    <w:rsid w:val="00B02294"/>
    <w:rsid w:val="00B03288"/>
    <w:rsid w:val="00B061E6"/>
    <w:rsid w:val="00B12062"/>
    <w:rsid w:val="00B13DC2"/>
    <w:rsid w:val="00B17BE8"/>
    <w:rsid w:val="00B25D0B"/>
    <w:rsid w:val="00B26F60"/>
    <w:rsid w:val="00B27105"/>
    <w:rsid w:val="00B30CA0"/>
    <w:rsid w:val="00B35782"/>
    <w:rsid w:val="00B367AB"/>
    <w:rsid w:val="00B37399"/>
    <w:rsid w:val="00B375EA"/>
    <w:rsid w:val="00B42A6A"/>
    <w:rsid w:val="00B51D0D"/>
    <w:rsid w:val="00B52F88"/>
    <w:rsid w:val="00B676BB"/>
    <w:rsid w:val="00B721DC"/>
    <w:rsid w:val="00B92016"/>
    <w:rsid w:val="00B923BE"/>
    <w:rsid w:val="00B92721"/>
    <w:rsid w:val="00BA1327"/>
    <w:rsid w:val="00BA2AC6"/>
    <w:rsid w:val="00BA68EF"/>
    <w:rsid w:val="00BB0633"/>
    <w:rsid w:val="00BB0C6C"/>
    <w:rsid w:val="00BB36D3"/>
    <w:rsid w:val="00BB3B8F"/>
    <w:rsid w:val="00BB408F"/>
    <w:rsid w:val="00BB527C"/>
    <w:rsid w:val="00BB61D2"/>
    <w:rsid w:val="00BD4347"/>
    <w:rsid w:val="00BE3C4E"/>
    <w:rsid w:val="00BE3CE6"/>
    <w:rsid w:val="00BE40A2"/>
    <w:rsid w:val="00BE429A"/>
    <w:rsid w:val="00BE4E9F"/>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9769F"/>
    <w:rsid w:val="00CA5F9F"/>
    <w:rsid w:val="00CB5AC0"/>
    <w:rsid w:val="00CB6468"/>
    <w:rsid w:val="00CB7984"/>
    <w:rsid w:val="00CC0C99"/>
    <w:rsid w:val="00CC288A"/>
    <w:rsid w:val="00CC666F"/>
    <w:rsid w:val="00CE1CB6"/>
    <w:rsid w:val="00CF467B"/>
    <w:rsid w:val="00D06A05"/>
    <w:rsid w:val="00D22F45"/>
    <w:rsid w:val="00D2348E"/>
    <w:rsid w:val="00D249B9"/>
    <w:rsid w:val="00D2776D"/>
    <w:rsid w:val="00D27AFB"/>
    <w:rsid w:val="00D308FA"/>
    <w:rsid w:val="00D473D7"/>
    <w:rsid w:val="00D5096A"/>
    <w:rsid w:val="00D653DF"/>
    <w:rsid w:val="00D7231B"/>
    <w:rsid w:val="00D7299B"/>
    <w:rsid w:val="00D73E45"/>
    <w:rsid w:val="00D90EA5"/>
    <w:rsid w:val="00D9158F"/>
    <w:rsid w:val="00D97BF6"/>
    <w:rsid w:val="00DA0D02"/>
    <w:rsid w:val="00DA57AB"/>
    <w:rsid w:val="00DA7D88"/>
    <w:rsid w:val="00DB1B33"/>
    <w:rsid w:val="00DB4906"/>
    <w:rsid w:val="00DB6EA1"/>
    <w:rsid w:val="00DC58C6"/>
    <w:rsid w:val="00DC6CC7"/>
    <w:rsid w:val="00DC6FCA"/>
    <w:rsid w:val="00DD641A"/>
    <w:rsid w:val="00DE2273"/>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E72CE"/>
    <w:rsid w:val="00EF6AA9"/>
    <w:rsid w:val="00F232EF"/>
    <w:rsid w:val="00F30FF9"/>
    <w:rsid w:val="00F32C26"/>
    <w:rsid w:val="00F336C7"/>
    <w:rsid w:val="00F37352"/>
    <w:rsid w:val="00F40051"/>
    <w:rsid w:val="00F45FFC"/>
    <w:rsid w:val="00F46439"/>
    <w:rsid w:val="00F57615"/>
    <w:rsid w:val="00F829FD"/>
    <w:rsid w:val="00F847D5"/>
    <w:rsid w:val="00FA307E"/>
    <w:rsid w:val="00FA5861"/>
    <w:rsid w:val="00FB230B"/>
    <w:rsid w:val="00FB71A6"/>
    <w:rsid w:val="00FC22BB"/>
    <w:rsid w:val="00FD2171"/>
    <w:rsid w:val="00FD7FE7"/>
    <w:rsid w:val="00FE6985"/>
    <w:rsid w:val="00FF2E17"/>
    <w:rsid w:val="049C38C3"/>
    <w:rsid w:val="087C27D2"/>
    <w:rsid w:val="09715D72"/>
    <w:rsid w:val="0BF75E16"/>
    <w:rsid w:val="0DA30EB1"/>
    <w:rsid w:val="11CC2ACE"/>
    <w:rsid w:val="14D40194"/>
    <w:rsid w:val="16CF35F9"/>
    <w:rsid w:val="16FD6C70"/>
    <w:rsid w:val="178A4C2F"/>
    <w:rsid w:val="1AF72D93"/>
    <w:rsid w:val="1D705E6F"/>
    <w:rsid w:val="1FD12E07"/>
    <w:rsid w:val="360B22FA"/>
    <w:rsid w:val="38BB3376"/>
    <w:rsid w:val="3C4D19A5"/>
    <w:rsid w:val="3C9967A2"/>
    <w:rsid w:val="3CCA6BAF"/>
    <w:rsid w:val="3D361311"/>
    <w:rsid w:val="41542771"/>
    <w:rsid w:val="481F5760"/>
    <w:rsid w:val="4BFA47F1"/>
    <w:rsid w:val="501F24D5"/>
    <w:rsid w:val="5B4F1985"/>
    <w:rsid w:val="5C237373"/>
    <w:rsid w:val="60166ED7"/>
    <w:rsid w:val="623C6820"/>
    <w:rsid w:val="68532C20"/>
    <w:rsid w:val="68E81C57"/>
    <w:rsid w:val="72833F87"/>
    <w:rsid w:val="749B1192"/>
    <w:rsid w:val="77B2358A"/>
    <w:rsid w:val="7E5D3810"/>
    <w:rsid w:val="7F6D0E9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character" w:customStyle="1" w:styleId="61">
    <w:name w:val="Fonte parág. padrão11"/>
    <w:qFormat/>
    <w:uiPriority w:val="0"/>
  </w:style>
  <w:style w:type="paragraph" w:customStyle="1" w:styleId="62">
    <w:name w:val="Parágrafo da Lista"/>
    <w:basedOn w:val="38"/>
    <w:qFormat/>
    <w:uiPriority w:val="0"/>
    <w:pPr>
      <w:spacing w:after="200" w:line="276" w:lineRule="auto"/>
      <w:ind w:left="720"/>
    </w:pPr>
    <w:rPr>
      <w:rFonts w:ascii="Calibri" w:hAnsi="Calibri" w:eastAsia="Calibri" w:cs="Calibri"/>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15</Pages>
  <Words>6139</Words>
  <Characters>33156</Characters>
  <Lines>276</Lines>
  <Paragraphs>78</Paragraphs>
  <TotalTime>0</TotalTime>
  <ScaleCrop>false</ScaleCrop>
  <LinksUpToDate>false</LinksUpToDate>
  <CharactersWithSpaces>39217</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cintia.mayer</cp:lastModifiedBy>
  <cp:lastPrinted>2023-08-22T17:19:00Z</cp:lastPrinted>
  <dcterms:modified xsi:type="dcterms:W3CDTF">2026-07-13T17:10:44Z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1046-11.2.0.10443</vt:lpwstr>
  </property>
  <property fmtid="{D5CDD505-2E9C-101B-9397-08002B2CF9AE}" pid="6" name="ICV">
    <vt:lpwstr>5BDC8CEBA3E94F8CA249749E2E807F87_12</vt:lpwstr>
  </property>
</Properties>
</file>